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pStyle w:val="Style_3"/>
      </w:pPr>
      <w:bookmarkStart w:id="1" w:name="OLE_LINK1"/>
      <w:bookmarkStart w:id="2" w:name="OLE_LINK2"/>
      <w:r>
        <w:t>Р о с с и й с к а я  Ф е д е р а ц и я</w:t>
      </w:r>
    </w:p>
    <w:p w14:paraId="0A000000">
      <w:pPr>
        <w:pStyle w:val="Style_4"/>
        <w:spacing w:before="0"/>
        <w:ind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Иркутская область</w:t>
      </w:r>
    </w:p>
    <w:p w14:paraId="0B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Муниципальное образование «Тайшетский  район»</w:t>
      </w:r>
    </w:p>
    <w:p w14:paraId="0C000000">
      <w:pPr>
        <w:pStyle w:val="Style_5"/>
        <w:spacing w:before="0"/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Старо-Акульшетское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32"/>
        </w:rPr>
        <w:t>муниципальное образование</w:t>
      </w:r>
    </w:p>
    <w:p w14:paraId="0D000000">
      <w:pPr>
        <w:ind/>
        <w:jc w:val="center"/>
        <w:rPr>
          <w:sz w:val="28"/>
        </w:rPr>
      </w:pPr>
      <w:r>
        <w:rPr>
          <w:b w:val="1"/>
          <w:sz w:val="28"/>
        </w:rPr>
        <w:t>Администрация Старо-Акульшетского  муниципального образования</w:t>
      </w:r>
    </w:p>
    <w:p w14:paraId="0E000000">
      <w:pPr>
        <w:ind w:right="-5"/>
        <w:jc w:val="center"/>
        <w:rPr>
          <w:b w:val="1"/>
          <w:sz w:val="40"/>
        </w:rPr>
      </w:pPr>
    </w:p>
    <w:p w14:paraId="0F000000">
      <w:pPr>
        <w:ind w:right="-5"/>
        <w:jc w:val="center"/>
        <w:rPr>
          <w:b w:val="1"/>
          <w:sz w:val="40"/>
        </w:rPr>
      </w:pPr>
      <w:r>
        <w:rPr>
          <w:b w:val="1"/>
          <w:sz w:val="40"/>
        </w:rPr>
        <w:t>ПОСТАНОВЛЕНИЕ</w:t>
      </w:r>
    </w:p>
    <w:p w14:paraId="10000000">
      <w:pPr>
        <w:ind/>
        <w:jc w:val="both"/>
        <w:rPr>
          <w:b w:val="1"/>
        </w:rPr>
      </w:pPr>
    </w:p>
    <w:p w14:paraId="11000000">
      <w:pPr>
        <w:ind w:right="-568"/>
        <w:rPr>
          <w:sz w:val="24"/>
        </w:rPr>
      </w:pPr>
      <w:bookmarkEnd w:id="1"/>
      <w:bookmarkEnd w:id="2"/>
      <w:r>
        <w:rPr>
          <w:sz w:val="24"/>
        </w:rPr>
        <w:t>от “</w:t>
      </w:r>
      <w:r>
        <w:rPr>
          <w:sz w:val="24"/>
        </w:rPr>
        <w:t xml:space="preserve"> _____</w:t>
      </w:r>
      <w:r>
        <w:rPr>
          <w:sz w:val="24"/>
        </w:rPr>
        <w:t xml:space="preserve"> сентября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>20</w:t>
      </w:r>
      <w:r>
        <w:rPr>
          <w:sz w:val="24"/>
        </w:rPr>
        <w:t>2</w:t>
      </w:r>
      <w:r>
        <w:rPr>
          <w:sz w:val="24"/>
        </w:rPr>
        <w:t>2</w:t>
      </w:r>
      <w:r>
        <w:rPr>
          <w:sz w:val="24"/>
        </w:rPr>
        <w:t xml:space="preserve"> г.    </w:t>
      </w:r>
      <w:r>
        <w:rPr>
          <w:sz w:val="24"/>
        </w:rPr>
        <w:t xml:space="preserve">                                                       </w:t>
      </w:r>
      <w:r>
        <w:rPr>
          <w:sz w:val="24"/>
        </w:rPr>
        <w:t xml:space="preserve">      </w:t>
      </w:r>
      <w:r>
        <w:rPr>
          <w:sz w:val="24"/>
        </w:rPr>
        <w:t xml:space="preserve">    </w:t>
      </w:r>
      <w:r>
        <w:rPr>
          <w:sz w:val="24"/>
        </w:rPr>
        <w:t xml:space="preserve">         </w:t>
      </w:r>
      <w:r>
        <w:rPr>
          <w:sz w:val="24"/>
        </w:rPr>
        <w:t xml:space="preserve">  №</w:t>
      </w:r>
      <w:r>
        <w:rPr>
          <w:sz w:val="24"/>
        </w:rPr>
        <w:t xml:space="preserve">  ___</w:t>
      </w:r>
    </w:p>
    <w:p w14:paraId="12000000"/>
    <w:p w14:paraId="13000000">
      <w:pPr>
        <w:widowControl w:val="0"/>
        <w:ind/>
        <w:rPr>
          <w:sz w:val="24"/>
        </w:rPr>
      </w:pPr>
      <w:r>
        <w:rPr>
          <w:sz w:val="24"/>
        </w:rPr>
        <w:t>О</w:t>
      </w:r>
      <w:r>
        <w:rPr>
          <w:sz w:val="24"/>
        </w:rPr>
        <w:t xml:space="preserve"> внесении изменений в </w:t>
      </w:r>
      <w:r>
        <w:rPr>
          <w:sz w:val="24"/>
        </w:rPr>
        <w:t>муниципальн</w:t>
      </w:r>
      <w:r>
        <w:rPr>
          <w:sz w:val="24"/>
        </w:rPr>
        <w:t>ую</w:t>
      </w:r>
      <w:r>
        <w:rPr>
          <w:sz w:val="24"/>
        </w:rPr>
        <w:t xml:space="preserve"> программ</w:t>
      </w:r>
      <w:r>
        <w:rPr>
          <w:sz w:val="24"/>
        </w:rPr>
        <w:t>у</w:t>
      </w:r>
    </w:p>
    <w:p w14:paraId="14000000">
      <w:pPr>
        <w:widowControl w:val="0"/>
        <w:ind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" Приобретение жилых помещений (служебного жилья) </w:t>
      </w:r>
    </w:p>
    <w:p w14:paraId="15000000">
      <w:pPr>
        <w:widowControl w:val="0"/>
        <w:ind/>
        <w:rPr>
          <w:sz w:val="24"/>
        </w:rPr>
      </w:pPr>
      <w:r>
        <w:rPr>
          <w:sz w:val="24"/>
        </w:rPr>
        <w:t>для работников государственных и мун</w:t>
      </w:r>
      <w:r>
        <w:rPr>
          <w:sz w:val="24"/>
        </w:rPr>
        <w:t>и</w:t>
      </w:r>
      <w:r>
        <w:rPr>
          <w:sz w:val="24"/>
        </w:rPr>
        <w:t xml:space="preserve">ципальных </w:t>
      </w:r>
    </w:p>
    <w:p w14:paraId="16000000">
      <w:pPr>
        <w:widowControl w:val="0"/>
        <w:ind/>
        <w:rPr>
          <w:sz w:val="24"/>
        </w:rPr>
      </w:pPr>
      <w:r>
        <w:rPr>
          <w:sz w:val="24"/>
        </w:rPr>
        <w:t xml:space="preserve">учреждений, расположенных на территории </w:t>
      </w:r>
    </w:p>
    <w:p w14:paraId="17000000">
      <w:pPr>
        <w:widowControl w:val="0"/>
        <w:ind/>
        <w:rPr>
          <w:sz w:val="24"/>
        </w:rPr>
      </w:pPr>
      <w:r>
        <w:rPr>
          <w:sz w:val="24"/>
        </w:rPr>
        <w:t xml:space="preserve">Старо-Акульшетского муниципального </w:t>
      </w:r>
    </w:p>
    <w:p w14:paraId="18000000">
      <w:pPr>
        <w:widowControl w:val="0"/>
        <w:ind/>
        <w:rPr>
          <w:sz w:val="24"/>
        </w:rPr>
      </w:pPr>
      <w:r>
        <w:rPr>
          <w:sz w:val="24"/>
        </w:rPr>
        <w:t>образования</w:t>
      </w:r>
      <w:r>
        <w:rPr>
          <w:sz w:val="24"/>
        </w:rPr>
        <w:t xml:space="preserve"> "на 2022-2024 г</w:t>
      </w:r>
      <w:r>
        <w:rPr>
          <w:sz w:val="24"/>
        </w:rPr>
        <w:t>о</w:t>
      </w:r>
      <w:r>
        <w:rPr>
          <w:sz w:val="24"/>
        </w:rPr>
        <w:t>ды</w:t>
      </w:r>
    </w:p>
    <w:p w14:paraId="19000000">
      <w:pPr>
        <w:widowControl w:val="0"/>
        <w:ind/>
        <w:rPr>
          <w:rStyle w:val="Style_6_ch"/>
          <w:b w:val="1"/>
          <w:i w:val="1"/>
        </w:rPr>
      </w:pPr>
    </w:p>
    <w:p w14:paraId="1A000000">
      <w:pPr>
        <w:widowControl w:val="0"/>
        <w:ind w:firstLine="708" w:left="0"/>
        <w:jc w:val="both"/>
        <w:rPr>
          <w:sz w:val="24"/>
        </w:rPr>
      </w:pPr>
      <w:r>
        <w:rPr>
          <w:rStyle w:val="Style_6_ch"/>
        </w:rPr>
        <w:t xml:space="preserve">В целях корректировки </w:t>
      </w:r>
      <w:r>
        <w:rPr>
          <w:rStyle w:val="Style_6_ch"/>
        </w:rPr>
        <w:t xml:space="preserve">финансового </w:t>
      </w:r>
      <w:r>
        <w:rPr>
          <w:rStyle w:val="Style_6_ch"/>
        </w:rPr>
        <w:t xml:space="preserve">обеспечения муниципальной программы </w:t>
      </w:r>
      <w:r>
        <w:rPr>
          <w:sz w:val="24"/>
        </w:rPr>
        <w:t>Ст</w:t>
      </w:r>
      <w:r>
        <w:rPr>
          <w:sz w:val="24"/>
        </w:rPr>
        <w:t>а</w:t>
      </w:r>
      <w:r>
        <w:rPr>
          <w:sz w:val="24"/>
        </w:rPr>
        <w:t>ро-Акульшетского муниципального образования</w:t>
      </w:r>
      <w:r>
        <w:rPr>
          <w:rStyle w:val="Style_6_ch"/>
        </w:rPr>
        <w:t xml:space="preserve"> </w:t>
      </w:r>
      <w:r>
        <w:rPr>
          <w:sz w:val="24"/>
        </w:rPr>
        <w:t>" Приобретение жилых помещений (служебного жилья) для работников государственных и муниципальных учреждений, ра</w:t>
      </w:r>
      <w:r>
        <w:rPr>
          <w:sz w:val="24"/>
        </w:rPr>
        <w:t>с</w:t>
      </w:r>
      <w:r>
        <w:rPr>
          <w:sz w:val="24"/>
        </w:rPr>
        <w:t>положенных на территории Старо-Акульшетского муниципального образования</w:t>
      </w:r>
      <w:r>
        <w:rPr>
          <w:sz w:val="24"/>
        </w:rPr>
        <w:t xml:space="preserve"> "на 2022-2024 годы</w:t>
      </w:r>
      <w:r>
        <w:rPr>
          <w:rStyle w:val="Style_6_ch"/>
        </w:rPr>
        <w:t xml:space="preserve">, </w:t>
      </w:r>
      <w:r>
        <w:rPr>
          <w:rStyle w:val="Style_6_ch"/>
        </w:rPr>
        <w:t>в</w:t>
      </w:r>
      <w:r>
        <w:rPr>
          <w:rStyle w:val="Style_6_ch"/>
        </w:rPr>
        <w:t xml:space="preserve"> соответствии с Федеральным законом от 06.10.2003 года № 131-ФЗ «Об о</w:t>
      </w:r>
      <w:r>
        <w:rPr>
          <w:rStyle w:val="Style_6_ch"/>
        </w:rPr>
        <w:t>б</w:t>
      </w:r>
      <w:r>
        <w:rPr>
          <w:rStyle w:val="Style_6_ch"/>
        </w:rPr>
        <w:t>щих принципах организации местного самоуправления в Российской Федерации», рук</w:t>
      </w:r>
      <w:r>
        <w:rPr>
          <w:rStyle w:val="Style_6_ch"/>
        </w:rPr>
        <w:t>о</w:t>
      </w:r>
      <w:r>
        <w:rPr>
          <w:rStyle w:val="Style_6_ch"/>
        </w:rPr>
        <w:t>водствуясь</w:t>
      </w:r>
      <w:r>
        <w:t xml:space="preserve"> </w:t>
      </w:r>
      <w:r>
        <w:rPr>
          <w:sz w:val="24"/>
        </w:rPr>
        <w:t>Положением о порядке формирования, разработки и реализации муниципал</w:t>
      </w:r>
      <w:r>
        <w:rPr>
          <w:sz w:val="24"/>
        </w:rPr>
        <w:t>ь</w:t>
      </w:r>
      <w:r>
        <w:rPr>
          <w:sz w:val="24"/>
        </w:rPr>
        <w:t>ных программ Старо-Акульшетского муниципального образования, утвержденным пост</w:t>
      </w:r>
      <w:r>
        <w:rPr>
          <w:sz w:val="24"/>
        </w:rPr>
        <w:t>а</w:t>
      </w:r>
      <w:r>
        <w:rPr>
          <w:sz w:val="24"/>
        </w:rPr>
        <w:t>новлением администрации Старо-Акульшетского муниципального образования от 05.08.2021г. № 37,</w:t>
      </w:r>
      <w:r>
        <w:rPr>
          <w:rStyle w:val="Style_6_ch"/>
        </w:rPr>
        <w:t xml:space="preserve"> </w:t>
      </w:r>
      <w:r>
        <w:rPr>
          <w:sz w:val="24"/>
        </w:rPr>
        <w:t>статьями 23, 46 Устава Старо-Акульшетского  муниципального образ</w:t>
      </w:r>
      <w:r>
        <w:rPr>
          <w:sz w:val="24"/>
        </w:rPr>
        <w:t>о</w:t>
      </w:r>
      <w:r>
        <w:rPr>
          <w:sz w:val="24"/>
        </w:rPr>
        <w:t xml:space="preserve">вания, </w:t>
      </w:r>
      <w:r>
        <w:rPr>
          <w:sz w:val="24"/>
        </w:rPr>
        <w:t xml:space="preserve">администрация </w:t>
      </w:r>
      <w:r>
        <w:rPr>
          <w:sz w:val="24"/>
        </w:rPr>
        <w:t>Старо-Акульшетского муниципального образования</w:t>
      </w:r>
    </w:p>
    <w:p w14:paraId="1B000000">
      <w:pPr>
        <w:widowControl w:val="0"/>
        <w:ind w:firstLine="708" w:left="0"/>
        <w:jc w:val="both"/>
        <w:rPr>
          <w:b w:val="1"/>
          <w:i w:val="1"/>
          <w:sz w:val="24"/>
        </w:rPr>
      </w:pPr>
    </w:p>
    <w:p w14:paraId="1C000000">
      <w:pPr>
        <w:widowControl w:val="0"/>
        <w:ind w:firstLine="708" w:left="0"/>
        <w:jc w:val="both"/>
        <w:rPr>
          <w:b w:val="1"/>
          <w:sz w:val="24"/>
        </w:rPr>
      </w:pPr>
      <w:r>
        <w:rPr>
          <w:b w:val="1"/>
          <w:sz w:val="24"/>
        </w:rPr>
        <w:t>ПОСТАНОВЛЯЕТ:</w:t>
      </w:r>
    </w:p>
    <w:p w14:paraId="1D000000">
      <w:pPr>
        <w:ind/>
        <w:jc w:val="both"/>
        <w:rPr>
          <w:sz w:val="24"/>
        </w:rPr>
      </w:pPr>
    </w:p>
    <w:p w14:paraId="1E000000">
      <w:pPr>
        <w:tabs>
          <w:tab w:leader="none" w:pos="709" w:val="left"/>
        </w:tabs>
        <w:ind w:firstLine="0" w:left="10"/>
        <w:jc w:val="both"/>
        <w:rPr>
          <w:rStyle w:val="Style_6_ch"/>
        </w:rPr>
      </w:pPr>
      <w:r>
        <w:rPr>
          <w:rStyle w:val="Style_6_ch"/>
        </w:rPr>
        <w:tab/>
      </w:r>
      <w:r>
        <w:rPr>
          <w:rStyle w:val="Style_6_ch"/>
        </w:rPr>
        <w:t xml:space="preserve">1. </w:t>
      </w:r>
      <w:r>
        <w:rPr>
          <w:rStyle w:val="Style_6_ch"/>
        </w:rPr>
        <w:t>В</w:t>
      </w:r>
      <w:r>
        <w:rPr>
          <w:rStyle w:val="Style_6_ch"/>
        </w:rPr>
        <w:t xml:space="preserve"> </w:t>
      </w:r>
      <w:r>
        <w:rPr>
          <w:rStyle w:val="Style_6_ch"/>
        </w:rPr>
        <w:t>муниципальн</w:t>
      </w:r>
      <w:r>
        <w:rPr>
          <w:rStyle w:val="Style_6_ch"/>
        </w:rPr>
        <w:t>ую</w:t>
      </w:r>
      <w:r>
        <w:rPr>
          <w:rStyle w:val="Style_6_ch"/>
        </w:rPr>
        <w:t xml:space="preserve"> программ</w:t>
      </w:r>
      <w:r>
        <w:rPr>
          <w:rStyle w:val="Style_6_ch"/>
        </w:rPr>
        <w:t>у</w:t>
      </w:r>
      <w:r>
        <w:rPr>
          <w:rStyle w:val="Style_6_ch"/>
        </w:rPr>
        <w:t xml:space="preserve"> </w:t>
      </w:r>
      <w:r>
        <w:rPr>
          <w:sz w:val="24"/>
        </w:rPr>
        <w:t>Старо-Акульшетского муниципального образов</w:t>
      </w:r>
      <w:r>
        <w:rPr>
          <w:sz w:val="24"/>
        </w:rPr>
        <w:t>а</w:t>
      </w:r>
      <w:r>
        <w:rPr>
          <w:sz w:val="24"/>
        </w:rPr>
        <w:t>ния</w:t>
      </w:r>
      <w:r>
        <w:rPr>
          <w:rStyle w:val="Style_6_ch"/>
        </w:rPr>
        <w:t xml:space="preserve"> </w:t>
      </w:r>
      <w:r>
        <w:rPr>
          <w:sz w:val="24"/>
        </w:rPr>
        <w:t>" Приобретение жилых помещений (служебного жилья) для работников государс</w:t>
      </w:r>
      <w:r>
        <w:rPr>
          <w:sz w:val="24"/>
        </w:rPr>
        <w:t>т</w:t>
      </w:r>
      <w:r>
        <w:rPr>
          <w:sz w:val="24"/>
        </w:rPr>
        <w:t>венных и мун</w:t>
      </w:r>
      <w:r>
        <w:rPr>
          <w:sz w:val="24"/>
        </w:rPr>
        <w:t>и</w:t>
      </w:r>
      <w:r>
        <w:rPr>
          <w:sz w:val="24"/>
        </w:rPr>
        <w:t>ципальных учреждений, расположенных на территории Старо-Акульшетского муниципального образования</w:t>
      </w:r>
      <w:r>
        <w:rPr>
          <w:sz w:val="24"/>
        </w:rPr>
        <w:t xml:space="preserve"> "на 2022-2024 г</w:t>
      </w:r>
      <w:r>
        <w:rPr>
          <w:sz w:val="24"/>
        </w:rPr>
        <w:t>о</w:t>
      </w:r>
      <w:r>
        <w:rPr>
          <w:sz w:val="24"/>
        </w:rPr>
        <w:t>ды</w:t>
      </w:r>
      <w:r>
        <w:rPr>
          <w:rStyle w:val="Style_6_ch"/>
        </w:rPr>
        <w:t xml:space="preserve"> </w:t>
      </w:r>
      <w:r>
        <w:rPr>
          <w:rStyle w:val="Style_6_ch"/>
        </w:rPr>
        <w:t>внести изменения::</w:t>
      </w:r>
    </w:p>
    <w:p w14:paraId="1F000000">
      <w:pPr>
        <w:tabs>
          <w:tab w:leader="none" w:pos="709" w:val="left"/>
        </w:tabs>
        <w:ind w:firstLine="0" w:left="10"/>
        <w:jc w:val="both"/>
      </w:pPr>
      <w:r>
        <w:rPr>
          <w:rStyle w:val="Style_6_ch"/>
        </w:rPr>
        <w:t xml:space="preserve">           </w:t>
      </w:r>
      <w:r>
        <w:rPr>
          <w:rStyle w:val="Style_6_ch"/>
        </w:rPr>
        <w:t>1.1 в</w:t>
      </w:r>
      <w:r>
        <w:rPr>
          <w:rStyle w:val="Style_6_ch"/>
        </w:rPr>
        <w:t xml:space="preserve"> </w:t>
      </w:r>
      <w:r>
        <w:rPr>
          <w:rStyle w:val="Style_6_ch"/>
        </w:rPr>
        <w:t>Паспорте Муниципальной программы позицию</w:t>
      </w:r>
      <w:r>
        <w:rPr>
          <w:rStyle w:val="Style_6_ch"/>
        </w:rPr>
        <w:t xml:space="preserve"> </w:t>
      </w:r>
      <w:r>
        <w:rPr>
          <w:rStyle w:val="Style_6_ch"/>
        </w:rPr>
        <w:t>«Ресурсное обеспечение Пр</w:t>
      </w:r>
      <w:r>
        <w:rPr>
          <w:rStyle w:val="Style_6_ch"/>
        </w:rPr>
        <w:t>о</w:t>
      </w:r>
      <w:r>
        <w:rPr>
          <w:rStyle w:val="Style_6_ch"/>
        </w:rPr>
        <w:t>граммы» изложить в новой редакции</w:t>
      </w:r>
      <w:r>
        <w:rPr>
          <w:rStyle w:val="Style_6_ch"/>
        </w:rPr>
        <w:t>:</w:t>
      </w:r>
      <w:r>
        <w:t xml:space="preserve"> </w:t>
      </w:r>
    </w:p>
    <w:p w14:paraId="20000000">
      <w:pPr>
        <w:tabs>
          <w:tab w:leader="none" w:pos="709" w:val="left"/>
        </w:tabs>
        <w:ind w:firstLine="10" w:left="0"/>
        <w:jc w:val="both"/>
        <w:rPr>
          <w:sz w:val="24"/>
        </w:rPr>
      </w:pPr>
      <w:r>
        <w:rPr>
          <w:sz w:val="24"/>
        </w:rPr>
        <w:t xml:space="preserve">    «1. Финансирование Программы осуществляется за счет средств бюджета </w:t>
      </w:r>
      <w:r>
        <w:rPr>
          <w:sz w:val="24"/>
        </w:rPr>
        <w:t xml:space="preserve"> Старо-Акульшетского муниципального образования</w:t>
      </w:r>
      <w:r>
        <w:rPr>
          <w:sz w:val="24"/>
        </w:rPr>
        <w:t xml:space="preserve">  (далее – местный бюджет). Финансиров</w:t>
      </w:r>
      <w:r>
        <w:rPr>
          <w:sz w:val="24"/>
        </w:rPr>
        <w:t>а</w:t>
      </w:r>
      <w:r>
        <w:rPr>
          <w:sz w:val="24"/>
        </w:rPr>
        <w:t>ние мероприятий из федерального и областного бюджетов не осущ</w:t>
      </w:r>
      <w:r>
        <w:rPr>
          <w:sz w:val="24"/>
        </w:rPr>
        <w:t>е</w:t>
      </w:r>
      <w:r>
        <w:rPr>
          <w:sz w:val="24"/>
        </w:rPr>
        <w:t>ствляется.</w:t>
      </w:r>
    </w:p>
    <w:p w14:paraId="21000000">
      <w:pPr>
        <w:tabs>
          <w:tab w:leader="none" w:pos="709" w:val="left"/>
        </w:tabs>
        <w:ind w:firstLine="10" w:left="0"/>
        <w:jc w:val="both"/>
        <w:rPr>
          <w:sz w:val="24"/>
        </w:rPr>
      </w:pPr>
      <w:r>
        <w:rPr>
          <w:sz w:val="24"/>
        </w:rPr>
        <w:t>Общий объем финансирования</w:t>
      </w:r>
      <w:r>
        <w:rPr>
          <w:sz w:val="24"/>
        </w:rPr>
        <w:t xml:space="preserve"> – 11300,00 тыс. руб., в том числе по годам:</w:t>
      </w:r>
    </w:p>
    <w:p w14:paraId="22000000">
      <w:pPr>
        <w:ind/>
        <w:jc w:val="both"/>
        <w:rPr>
          <w:sz w:val="24"/>
        </w:rPr>
      </w:pPr>
      <w:r>
        <w:rPr>
          <w:sz w:val="24"/>
        </w:rPr>
        <w:t>2022 г. – 2800,00 тыс. руб.;</w:t>
      </w:r>
    </w:p>
    <w:p w14:paraId="23000000">
      <w:pPr>
        <w:ind/>
        <w:jc w:val="both"/>
        <w:rPr>
          <w:sz w:val="24"/>
        </w:rPr>
      </w:pPr>
      <w:r>
        <w:rPr>
          <w:sz w:val="24"/>
        </w:rPr>
        <w:t>2023 г. – 4000,00 тыс. руб.;</w:t>
      </w:r>
    </w:p>
    <w:p w14:paraId="24000000">
      <w:pPr>
        <w:ind/>
        <w:jc w:val="both"/>
        <w:rPr>
          <w:sz w:val="24"/>
        </w:rPr>
      </w:pPr>
      <w:r>
        <w:rPr>
          <w:sz w:val="24"/>
        </w:rPr>
        <w:t>2024 г. – 4500,00 тыс. руб.</w:t>
      </w:r>
    </w:p>
    <w:p w14:paraId="25000000">
      <w:pPr>
        <w:ind w:firstLine="0" w:left="709"/>
        <w:jc w:val="both"/>
        <w:rPr>
          <w:sz w:val="24"/>
        </w:rPr>
      </w:pPr>
      <w:r>
        <w:rPr>
          <w:sz w:val="24"/>
        </w:rPr>
        <w:t>2. Финансирование мероприятий Программы в ра</w:t>
      </w:r>
      <w:r>
        <w:rPr>
          <w:sz w:val="24"/>
        </w:rPr>
        <w:t>з</w:t>
      </w:r>
      <w:r>
        <w:rPr>
          <w:sz w:val="24"/>
        </w:rPr>
        <w:t>резе основных мероприятий:</w:t>
      </w:r>
    </w:p>
    <w:p w14:paraId="26000000">
      <w:pPr>
        <w:ind/>
        <w:jc w:val="both"/>
        <w:rPr>
          <w:sz w:val="24"/>
        </w:rPr>
      </w:pPr>
      <w:r>
        <w:rPr>
          <w:sz w:val="24"/>
        </w:rPr>
        <w:t>1) Приобретение жилых помещ</w:t>
      </w:r>
      <w:r>
        <w:rPr>
          <w:sz w:val="24"/>
        </w:rPr>
        <w:t>е</w:t>
      </w:r>
      <w:r>
        <w:rPr>
          <w:sz w:val="24"/>
        </w:rPr>
        <w:t xml:space="preserve">ний для специалистов, в работе которых имеется острая </w:t>
      </w:r>
      <w:r>
        <w:rPr>
          <w:sz w:val="24"/>
        </w:rPr>
        <w:t>необходимость</w:t>
      </w:r>
      <w:r>
        <w:rPr>
          <w:sz w:val="24"/>
        </w:rPr>
        <w:t xml:space="preserve"> на территории </w:t>
      </w:r>
      <w:r>
        <w:rPr>
          <w:sz w:val="24"/>
        </w:rPr>
        <w:t>Старо-Акульшетского муниципального образов</w:t>
      </w:r>
      <w:r>
        <w:rPr>
          <w:sz w:val="24"/>
        </w:rPr>
        <w:t>а</w:t>
      </w:r>
      <w:r>
        <w:rPr>
          <w:sz w:val="24"/>
        </w:rPr>
        <w:t>ния</w:t>
      </w:r>
    </w:p>
    <w:p w14:paraId="27000000">
      <w:pPr>
        <w:ind/>
        <w:jc w:val="both"/>
        <w:rPr>
          <w:sz w:val="24"/>
        </w:rPr>
      </w:pPr>
      <w:r>
        <w:rPr>
          <w:sz w:val="24"/>
        </w:rPr>
        <w:t>2022 г. –2800,00 тыс. руб.;</w:t>
      </w:r>
    </w:p>
    <w:p w14:paraId="28000000">
      <w:pPr>
        <w:ind/>
        <w:jc w:val="both"/>
        <w:rPr>
          <w:sz w:val="24"/>
        </w:rPr>
      </w:pPr>
      <w:r>
        <w:rPr>
          <w:sz w:val="24"/>
        </w:rPr>
        <w:t>2023 г. – 4000,00 тыс. руб.;</w:t>
      </w:r>
    </w:p>
    <w:p w14:paraId="29000000">
      <w:pPr>
        <w:ind/>
        <w:jc w:val="both"/>
        <w:rPr>
          <w:sz w:val="24"/>
        </w:rPr>
      </w:pPr>
      <w:r>
        <w:rPr>
          <w:sz w:val="24"/>
        </w:rPr>
        <w:t>2024 г. – 4500,00 тыс. руб.</w:t>
      </w:r>
    </w:p>
    <w:p w14:paraId="2A000000">
      <w:pPr>
        <w:ind/>
        <w:jc w:val="both"/>
        <w:rPr>
          <w:sz w:val="24"/>
        </w:rPr>
      </w:pPr>
      <w:r>
        <w:rPr>
          <w:sz w:val="24"/>
        </w:rPr>
        <w:t>2) Ежегодное уточнение перечня специалистов, в работе которых имеется острая  необх</w:t>
      </w:r>
      <w:r>
        <w:rPr>
          <w:sz w:val="24"/>
        </w:rPr>
        <w:t>о</w:t>
      </w:r>
      <w:r>
        <w:rPr>
          <w:sz w:val="24"/>
        </w:rPr>
        <w:t xml:space="preserve">димость на территории </w:t>
      </w:r>
      <w:r>
        <w:rPr>
          <w:sz w:val="24"/>
        </w:rPr>
        <w:t xml:space="preserve"> Старо-Акульшетского муниц</w:t>
      </w:r>
      <w:r>
        <w:rPr>
          <w:sz w:val="24"/>
        </w:rPr>
        <w:t>и</w:t>
      </w:r>
      <w:r>
        <w:rPr>
          <w:sz w:val="24"/>
        </w:rPr>
        <w:t>пального образования</w:t>
      </w:r>
      <w:r>
        <w:rPr>
          <w:sz w:val="24"/>
        </w:rPr>
        <w:t xml:space="preserve"> : </w:t>
      </w:r>
    </w:p>
    <w:p w14:paraId="2B000000">
      <w:pPr>
        <w:ind/>
        <w:jc w:val="both"/>
        <w:rPr>
          <w:sz w:val="24"/>
        </w:rPr>
      </w:pPr>
      <w:r>
        <w:rPr>
          <w:sz w:val="24"/>
        </w:rPr>
        <w:t>2022 г. – 0,00 тыс. руб.;</w:t>
      </w:r>
    </w:p>
    <w:p w14:paraId="2C000000">
      <w:pPr>
        <w:ind/>
        <w:jc w:val="both"/>
        <w:rPr>
          <w:sz w:val="24"/>
        </w:rPr>
      </w:pPr>
      <w:r>
        <w:rPr>
          <w:sz w:val="24"/>
        </w:rPr>
        <w:t>2023 г. – 0,00 тыс. руб.;</w:t>
      </w:r>
    </w:p>
    <w:p w14:paraId="2D000000">
      <w:pPr>
        <w:ind/>
        <w:jc w:val="both"/>
        <w:rPr>
          <w:sz w:val="24"/>
        </w:rPr>
      </w:pPr>
      <w:r>
        <w:rPr>
          <w:sz w:val="24"/>
        </w:rPr>
        <w:t>2024 г. – 0,00 тыс. руб.;</w:t>
      </w:r>
    </w:p>
    <w:p w14:paraId="2E000000">
      <w:pPr>
        <w:ind/>
        <w:jc w:val="both"/>
        <w:rPr>
          <w:sz w:val="24"/>
        </w:rPr>
      </w:pPr>
      <w:r>
        <w:rPr>
          <w:sz w:val="24"/>
        </w:rPr>
        <w:t>2) Ведение учета лиц, имеющих право на предоставл</w:t>
      </w:r>
      <w:r>
        <w:rPr>
          <w:sz w:val="24"/>
        </w:rPr>
        <w:t>е</w:t>
      </w:r>
      <w:r>
        <w:rPr>
          <w:sz w:val="24"/>
        </w:rPr>
        <w:t xml:space="preserve">ние служебного жилого помещения: </w:t>
      </w:r>
    </w:p>
    <w:p w14:paraId="2F000000">
      <w:pPr>
        <w:ind/>
        <w:jc w:val="both"/>
        <w:rPr>
          <w:sz w:val="24"/>
        </w:rPr>
      </w:pPr>
      <w:r>
        <w:rPr>
          <w:sz w:val="24"/>
        </w:rPr>
        <w:t>2022 г. – 0,00 тыс. руб.;</w:t>
      </w:r>
    </w:p>
    <w:p w14:paraId="30000000">
      <w:pPr>
        <w:ind/>
        <w:jc w:val="both"/>
        <w:rPr>
          <w:sz w:val="24"/>
        </w:rPr>
      </w:pPr>
      <w:r>
        <w:rPr>
          <w:sz w:val="24"/>
        </w:rPr>
        <w:t>2023 г. – 0,00 тыс. руб.;</w:t>
      </w:r>
    </w:p>
    <w:p w14:paraId="31000000">
      <w:pPr>
        <w:ind/>
        <w:jc w:val="both"/>
        <w:rPr>
          <w:sz w:val="24"/>
        </w:rPr>
      </w:pPr>
      <w:r>
        <w:rPr>
          <w:sz w:val="24"/>
        </w:rPr>
        <w:t>2024 г. – 0,00 тыс. руб.;</w:t>
      </w:r>
    </w:p>
    <w:p w14:paraId="32000000">
      <w:pPr>
        <w:ind/>
        <w:jc w:val="both"/>
        <w:rPr>
          <w:sz w:val="24"/>
        </w:rPr>
      </w:pPr>
      <w:r>
        <w:rPr>
          <w:sz w:val="24"/>
        </w:rPr>
        <w:t xml:space="preserve">4) </w:t>
      </w:r>
      <w:r>
        <w:rPr>
          <w:sz w:val="24"/>
        </w:rPr>
        <w:t xml:space="preserve">Предоставление </w:t>
      </w:r>
      <w:r>
        <w:rPr>
          <w:sz w:val="24"/>
        </w:rPr>
        <w:t>жилых помещений специалистам, в работе которых имеется  необх</w:t>
      </w:r>
      <w:r>
        <w:rPr>
          <w:sz w:val="24"/>
        </w:rPr>
        <w:t>о</w:t>
      </w:r>
      <w:r>
        <w:rPr>
          <w:sz w:val="24"/>
        </w:rPr>
        <w:t xml:space="preserve">димость на территории </w:t>
      </w:r>
      <w:r>
        <w:rPr>
          <w:sz w:val="24"/>
        </w:rPr>
        <w:t xml:space="preserve"> Старо-Акульшетского муниципального образования</w:t>
      </w:r>
      <w:r>
        <w:rPr>
          <w:sz w:val="24"/>
        </w:rPr>
        <w:t xml:space="preserve"> , по догов</w:t>
      </w:r>
      <w:r>
        <w:rPr>
          <w:sz w:val="24"/>
        </w:rPr>
        <w:t>о</w:t>
      </w:r>
      <w:r>
        <w:rPr>
          <w:sz w:val="24"/>
        </w:rPr>
        <w:t>рам найма служебного жилого пом</w:t>
      </w:r>
      <w:r>
        <w:rPr>
          <w:sz w:val="24"/>
        </w:rPr>
        <w:t>е</w:t>
      </w:r>
      <w:r>
        <w:rPr>
          <w:sz w:val="24"/>
        </w:rPr>
        <w:t>щения:</w:t>
      </w:r>
    </w:p>
    <w:p w14:paraId="33000000">
      <w:pPr>
        <w:ind/>
        <w:jc w:val="both"/>
        <w:rPr>
          <w:sz w:val="24"/>
        </w:rPr>
      </w:pPr>
      <w:r>
        <w:rPr>
          <w:sz w:val="24"/>
        </w:rPr>
        <w:t>2022 г. – 0,00 тыс. руб.;</w:t>
      </w:r>
    </w:p>
    <w:p w14:paraId="34000000">
      <w:pPr>
        <w:ind/>
        <w:jc w:val="both"/>
        <w:rPr>
          <w:sz w:val="24"/>
        </w:rPr>
      </w:pPr>
      <w:r>
        <w:rPr>
          <w:sz w:val="24"/>
        </w:rPr>
        <w:t>2023 г. – 0,00 тыс. руб.;</w:t>
      </w:r>
    </w:p>
    <w:p w14:paraId="35000000">
      <w:pPr>
        <w:ind/>
        <w:jc w:val="both"/>
        <w:rPr>
          <w:sz w:val="24"/>
        </w:rPr>
      </w:pPr>
      <w:r>
        <w:rPr>
          <w:sz w:val="24"/>
        </w:rPr>
        <w:t>2024 г. – 0,00 тыс. руб.»</w:t>
      </w:r>
      <w:r>
        <w:rPr>
          <w:sz w:val="24"/>
        </w:rPr>
        <w:t>;</w:t>
      </w:r>
    </w:p>
    <w:p w14:paraId="36000000">
      <w:pPr>
        <w:tabs>
          <w:tab w:leader="none" w:pos="709" w:val="left"/>
        </w:tabs>
        <w:ind w:firstLine="0" w:left="10"/>
        <w:jc w:val="both"/>
        <w:rPr>
          <w:sz w:val="24"/>
        </w:rPr>
      </w:pPr>
      <w:r>
        <w:rPr>
          <w:sz w:val="24"/>
        </w:rPr>
        <w:tab/>
      </w:r>
      <w:r>
        <w:rPr>
          <w:rStyle w:val="Style_6_ch"/>
        </w:rPr>
        <w:t xml:space="preserve"> </w:t>
      </w:r>
      <w:r>
        <w:rPr>
          <w:rStyle w:val="Style_6_ch"/>
        </w:rPr>
        <w:t>1.2</w:t>
      </w:r>
      <w:r>
        <w:rPr>
          <w:rStyle w:val="Style_6_ch"/>
        </w:rPr>
        <w:t xml:space="preserve"> </w:t>
      </w:r>
      <w:r>
        <w:rPr>
          <w:rStyle w:val="Style_6_ch"/>
        </w:rPr>
        <w:t xml:space="preserve">Главу 5 </w:t>
      </w:r>
      <w:r>
        <w:rPr>
          <w:rStyle w:val="Style_6_ch"/>
        </w:rPr>
        <w:t>Муниципальной программы «</w:t>
      </w:r>
      <w:r>
        <w:rPr>
          <w:rStyle w:val="Style_6_ch"/>
        </w:rPr>
        <w:t>Ресурсное обеспечение Программы</w:t>
      </w:r>
      <w:r>
        <w:rPr>
          <w:rStyle w:val="Style_6_ch"/>
        </w:rPr>
        <w:t>»</w:t>
      </w:r>
      <w:r>
        <w:rPr>
          <w:rStyle w:val="Style_6_ch"/>
        </w:rPr>
        <w:t xml:space="preserve"> и</w:t>
      </w:r>
      <w:r>
        <w:rPr>
          <w:rStyle w:val="Style_6_ch"/>
        </w:rPr>
        <w:t>з</w:t>
      </w:r>
      <w:r>
        <w:rPr>
          <w:rStyle w:val="Style_6_ch"/>
        </w:rPr>
        <w:t>ложить</w:t>
      </w:r>
      <w:r>
        <w:rPr>
          <w:rStyle w:val="Style_6_ch"/>
        </w:rPr>
        <w:t xml:space="preserve"> в новой редакции:</w:t>
      </w:r>
      <w:r>
        <w:rPr>
          <w:sz w:val="24"/>
        </w:rPr>
        <w:t xml:space="preserve"> </w:t>
      </w:r>
    </w:p>
    <w:p w14:paraId="37000000">
      <w:pPr>
        <w:tabs>
          <w:tab w:leader="none" w:pos="709" w:val="left"/>
        </w:tabs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 «</w:t>
      </w:r>
      <w:r>
        <w:rPr>
          <w:sz w:val="24"/>
        </w:rPr>
        <w:t>Финансирование Программы осуществляется за счет средств местного бюджета в соответствии с законодательством Российской Фед</w:t>
      </w:r>
      <w:r>
        <w:rPr>
          <w:sz w:val="24"/>
        </w:rPr>
        <w:t>е</w:t>
      </w:r>
      <w:r>
        <w:rPr>
          <w:sz w:val="24"/>
        </w:rPr>
        <w:t>рации.</w:t>
      </w:r>
    </w:p>
    <w:p w14:paraId="38000000">
      <w:pPr>
        <w:tabs>
          <w:tab w:leader="none" w:pos="709" w:val="left"/>
        </w:tabs>
        <w:ind/>
        <w:jc w:val="both"/>
        <w:rPr>
          <w:sz w:val="24"/>
        </w:rPr>
      </w:pPr>
      <w:r>
        <w:rPr>
          <w:sz w:val="24"/>
        </w:rPr>
        <w:t>Общий объем финансирования Подпрограммы составляет 1</w:t>
      </w:r>
      <w:r>
        <w:rPr>
          <w:sz w:val="24"/>
        </w:rPr>
        <w:t>13</w:t>
      </w:r>
      <w:r>
        <w:rPr>
          <w:sz w:val="24"/>
        </w:rPr>
        <w:t>00,00 тыс. руб., в том числе по годам:</w:t>
      </w:r>
    </w:p>
    <w:p w14:paraId="39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2022 г. – </w:t>
      </w:r>
      <w:r>
        <w:rPr>
          <w:sz w:val="24"/>
        </w:rPr>
        <w:t>28</w:t>
      </w:r>
      <w:r>
        <w:rPr>
          <w:sz w:val="24"/>
        </w:rPr>
        <w:t>00,00 тыс. руб.;</w:t>
      </w:r>
    </w:p>
    <w:p w14:paraId="3A000000">
      <w:pPr>
        <w:ind w:firstLine="567" w:left="0"/>
        <w:jc w:val="both"/>
        <w:rPr>
          <w:sz w:val="24"/>
        </w:rPr>
      </w:pPr>
      <w:r>
        <w:rPr>
          <w:sz w:val="24"/>
        </w:rPr>
        <w:t>2023г. –  4000,00 тыс. руб.;</w:t>
      </w:r>
    </w:p>
    <w:p w14:paraId="3B000000">
      <w:pPr>
        <w:ind w:firstLine="567" w:left="0"/>
        <w:jc w:val="both"/>
        <w:rPr>
          <w:sz w:val="24"/>
        </w:rPr>
      </w:pPr>
      <w:r>
        <w:rPr>
          <w:sz w:val="24"/>
        </w:rPr>
        <w:t>2024 г. – 4500,00 тыс. руб.;</w:t>
      </w:r>
    </w:p>
    <w:p w14:paraId="3C000000">
      <w:pPr>
        <w:ind w:firstLine="708" w:left="0"/>
        <w:jc w:val="both"/>
        <w:rPr>
          <w:sz w:val="24"/>
        </w:rPr>
      </w:pPr>
      <w:r>
        <w:rPr>
          <w:sz w:val="24"/>
        </w:rPr>
        <w:t>Объемы бюджетных ассигнований будут уточняться ежегодно при составлении м</w:t>
      </w:r>
      <w:r>
        <w:rPr>
          <w:sz w:val="24"/>
        </w:rPr>
        <w:t>е</w:t>
      </w:r>
      <w:r>
        <w:rPr>
          <w:sz w:val="24"/>
        </w:rPr>
        <w:t>стного бюджета на очередной финансовый год и плановый период и в процессе исполн</w:t>
      </w:r>
      <w:r>
        <w:rPr>
          <w:sz w:val="24"/>
        </w:rPr>
        <w:t>е</w:t>
      </w:r>
      <w:r>
        <w:rPr>
          <w:sz w:val="24"/>
        </w:rPr>
        <w:t>ния райо</w:t>
      </w:r>
      <w:r>
        <w:rPr>
          <w:sz w:val="24"/>
        </w:rPr>
        <w:t>н</w:t>
      </w:r>
      <w:r>
        <w:rPr>
          <w:sz w:val="24"/>
        </w:rPr>
        <w:t>ного бюджета.</w:t>
      </w:r>
    </w:p>
    <w:p w14:paraId="3D000000">
      <w:pPr>
        <w:tabs>
          <w:tab w:leader="none" w:pos="709" w:val="left"/>
        </w:tabs>
        <w:ind w:firstLine="10" w:left="0"/>
        <w:jc w:val="both"/>
        <w:rPr>
          <w:spacing w:val="-6"/>
          <w:sz w:val="24"/>
        </w:rPr>
      </w:pPr>
      <w:r>
        <w:rPr>
          <w:spacing w:val="-6"/>
          <w:sz w:val="24"/>
        </w:rPr>
        <w:tab/>
      </w:r>
      <w:r>
        <w:rPr>
          <w:spacing w:val="-6"/>
          <w:sz w:val="24"/>
        </w:rPr>
        <w:t>Распределение объема финансирования Программы по годам, источникам финансир</w:t>
      </w:r>
      <w:r>
        <w:rPr>
          <w:spacing w:val="-6"/>
          <w:sz w:val="24"/>
        </w:rPr>
        <w:t>о</w:t>
      </w:r>
      <w:r>
        <w:rPr>
          <w:spacing w:val="-6"/>
          <w:sz w:val="24"/>
        </w:rPr>
        <w:t xml:space="preserve">вания и Подпрограммам представлено в </w:t>
      </w:r>
      <w:r>
        <w:rPr>
          <w:b w:val="1"/>
          <w:spacing w:val="-6"/>
          <w:sz w:val="24"/>
        </w:rPr>
        <w:t>Прилож</w:t>
      </w:r>
      <w:r>
        <w:rPr>
          <w:b w:val="1"/>
          <w:spacing w:val="-6"/>
          <w:sz w:val="24"/>
        </w:rPr>
        <w:t>е</w:t>
      </w:r>
      <w:r>
        <w:rPr>
          <w:b w:val="1"/>
          <w:spacing w:val="-6"/>
          <w:sz w:val="24"/>
        </w:rPr>
        <w:t>нии 3</w:t>
      </w:r>
      <w:r>
        <w:rPr>
          <w:spacing w:val="-6"/>
          <w:sz w:val="24"/>
        </w:rPr>
        <w:t xml:space="preserve"> к настоящей Программе</w:t>
      </w:r>
      <w:r>
        <w:rPr>
          <w:spacing w:val="-6"/>
          <w:sz w:val="24"/>
        </w:rPr>
        <w:t>»;</w:t>
      </w:r>
    </w:p>
    <w:p w14:paraId="3E000000">
      <w:pPr>
        <w:ind w:firstLine="0" w:left="709"/>
        <w:jc w:val="both"/>
        <w:rPr>
          <w:sz w:val="24"/>
        </w:rPr>
      </w:pPr>
    </w:p>
    <w:p w14:paraId="3F000000">
      <w:pPr>
        <w:ind w:firstLine="0" w:left="709"/>
        <w:jc w:val="both"/>
        <w:rPr>
          <w:sz w:val="24"/>
        </w:rPr>
      </w:pPr>
      <w:r>
        <w:rPr>
          <w:sz w:val="24"/>
        </w:rPr>
        <w:t xml:space="preserve">1.3 </w:t>
      </w:r>
      <w:r>
        <w:rPr>
          <w:sz w:val="24"/>
        </w:rPr>
        <w:t xml:space="preserve"> В главе 8</w:t>
      </w:r>
      <w:r>
        <w:rPr>
          <w:sz w:val="24"/>
        </w:rPr>
        <w:tab/>
      </w:r>
      <w:r>
        <w:rPr>
          <w:sz w:val="24"/>
        </w:rPr>
        <w:t xml:space="preserve"> абзац 4 изложить в следующей редакции :</w:t>
      </w:r>
    </w:p>
    <w:p w14:paraId="40000000">
      <w:pPr>
        <w:ind w:firstLine="0" w:left="0"/>
        <w:jc w:val="both"/>
        <w:rPr>
          <w:sz w:val="24"/>
        </w:rPr>
      </w:pPr>
      <w:r>
        <w:rPr>
          <w:sz w:val="24"/>
        </w:rPr>
        <w:t xml:space="preserve">     « </w:t>
      </w:r>
      <w:r>
        <w:rPr>
          <w:sz w:val="24"/>
        </w:rPr>
        <w:t xml:space="preserve">Количественными </w:t>
      </w:r>
      <w:r>
        <w:rPr>
          <w:sz w:val="24"/>
        </w:rPr>
        <w:t>показател</w:t>
      </w:r>
      <w:r>
        <w:rPr>
          <w:sz w:val="24"/>
        </w:rPr>
        <w:t>ями</w:t>
      </w:r>
      <w:r>
        <w:rPr>
          <w:sz w:val="24"/>
        </w:rPr>
        <w:t xml:space="preserve"> результат</w:t>
      </w:r>
      <w:r>
        <w:rPr>
          <w:sz w:val="24"/>
        </w:rPr>
        <w:t>ивности реализации Подпрограммы явл</w:t>
      </w:r>
      <w:r>
        <w:rPr>
          <w:sz w:val="24"/>
        </w:rPr>
        <w:t>я</w:t>
      </w:r>
      <w:r>
        <w:rPr>
          <w:sz w:val="24"/>
        </w:rPr>
        <w:t xml:space="preserve">ется: </w:t>
      </w:r>
    </w:p>
    <w:p w14:paraId="41000000">
      <w:pPr>
        <w:ind w:firstLine="0" w:left="0"/>
        <w:jc w:val="both"/>
        <w:rPr>
          <w:sz w:val="24"/>
        </w:rPr>
      </w:pPr>
      <w:r>
        <w:rPr>
          <w:sz w:val="24"/>
        </w:rPr>
        <w:t xml:space="preserve"> - </w:t>
      </w:r>
      <w:r>
        <w:rPr>
          <w:sz w:val="24"/>
        </w:rPr>
        <w:t>Количество</w:t>
      </w:r>
      <w:r>
        <w:rPr>
          <w:sz w:val="24"/>
        </w:rPr>
        <w:t xml:space="preserve"> приобретенных квартир и закрепление их в специализированном ж</w:t>
      </w:r>
      <w:r>
        <w:rPr>
          <w:sz w:val="24"/>
        </w:rPr>
        <w:t>и</w:t>
      </w:r>
      <w:r>
        <w:rPr>
          <w:sz w:val="24"/>
        </w:rPr>
        <w:t xml:space="preserve">лищном фонде </w:t>
      </w:r>
      <w:r>
        <w:rPr>
          <w:sz w:val="24"/>
        </w:rPr>
        <w:t>Старо-Акульшетского муниципального обр</w:t>
      </w:r>
      <w:r>
        <w:rPr>
          <w:sz w:val="24"/>
        </w:rPr>
        <w:t>а</w:t>
      </w:r>
      <w:r>
        <w:rPr>
          <w:sz w:val="24"/>
        </w:rPr>
        <w:t xml:space="preserve">зования к концу 2023 г. –  5 шт. </w:t>
      </w:r>
    </w:p>
    <w:p w14:paraId="42000000">
      <w:pPr>
        <w:ind w:firstLine="0" w:left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Увеличение количества договоров найма служебного жилого помещения – не м</w:t>
      </w:r>
      <w:r>
        <w:rPr>
          <w:sz w:val="24"/>
        </w:rPr>
        <w:t>е</w:t>
      </w:r>
      <w:r>
        <w:rPr>
          <w:sz w:val="24"/>
        </w:rPr>
        <w:t xml:space="preserve">нее 1 договора в год. </w:t>
      </w:r>
      <w:r>
        <w:rPr>
          <w:sz w:val="24"/>
        </w:rPr>
        <w:t>Количество составленных  договоров найма служебного жилого п</w:t>
      </w:r>
      <w:r>
        <w:rPr>
          <w:sz w:val="24"/>
        </w:rPr>
        <w:t>о</w:t>
      </w:r>
      <w:r>
        <w:rPr>
          <w:sz w:val="24"/>
        </w:rPr>
        <w:t>мещ</w:t>
      </w:r>
      <w:r>
        <w:rPr>
          <w:sz w:val="24"/>
        </w:rPr>
        <w:t>е</w:t>
      </w:r>
      <w:r>
        <w:rPr>
          <w:sz w:val="24"/>
        </w:rPr>
        <w:t>ния  к концу 2023 г. – 5 шт.</w:t>
      </w:r>
    </w:p>
    <w:p w14:paraId="43000000">
      <w:pPr>
        <w:ind w:firstLine="0" w:left="0"/>
        <w:jc w:val="both"/>
        <w:rPr>
          <w:sz w:val="24"/>
        </w:rPr>
      </w:pPr>
      <w:r>
        <w:rPr>
          <w:rStyle w:val="Style_6_ch"/>
        </w:rPr>
        <w:tab/>
      </w:r>
      <w:r>
        <w:rPr>
          <w:rStyle w:val="Style_6_ch"/>
        </w:rPr>
        <w:t>1.4</w:t>
      </w:r>
      <w:r>
        <w:rPr>
          <w:rStyle w:val="Style_6_ch"/>
        </w:rPr>
        <w:t xml:space="preserve">  И</w:t>
      </w:r>
      <w:r>
        <w:rPr>
          <w:rStyle w:val="Style_6_ch"/>
        </w:rPr>
        <w:t>зложи</w:t>
      </w:r>
      <w:r>
        <w:rPr>
          <w:rStyle w:val="Style_6_ch"/>
        </w:rPr>
        <w:t>ть</w:t>
      </w:r>
      <w:r>
        <w:rPr>
          <w:rStyle w:val="Style_6_ch"/>
        </w:rPr>
        <w:t xml:space="preserve"> </w:t>
      </w:r>
      <w:r>
        <w:rPr>
          <w:rStyle w:val="Style_6_ch"/>
        </w:rPr>
        <w:t>приложени</w:t>
      </w:r>
      <w:r>
        <w:rPr>
          <w:rStyle w:val="Style_6_ch"/>
        </w:rPr>
        <w:t>я</w:t>
      </w:r>
      <w:r>
        <w:rPr>
          <w:rStyle w:val="Style_6_ch"/>
        </w:rPr>
        <w:t xml:space="preserve"> № 3, № 4 </w:t>
      </w:r>
      <w:r>
        <w:rPr>
          <w:rStyle w:val="Style_6_ch"/>
        </w:rPr>
        <w:t xml:space="preserve">, </w:t>
      </w:r>
      <w:r>
        <w:rPr>
          <w:rStyle w:val="Style_6_ch"/>
        </w:rPr>
        <w:t>№</w:t>
      </w:r>
      <w:r>
        <w:rPr>
          <w:rStyle w:val="Style_6_ch"/>
        </w:rPr>
        <w:t xml:space="preserve"> 5</w:t>
      </w:r>
      <w:r>
        <w:rPr>
          <w:rStyle w:val="Style_6_ch"/>
        </w:rPr>
        <w:t xml:space="preserve"> </w:t>
      </w:r>
      <w:r>
        <w:rPr>
          <w:rStyle w:val="Style_6_ch"/>
        </w:rPr>
        <w:t xml:space="preserve"> в новой редакции</w:t>
      </w:r>
      <w:r>
        <w:rPr>
          <w:rStyle w:val="Style_6_ch"/>
        </w:rPr>
        <w:t>.</w:t>
      </w:r>
      <w:r>
        <w:rPr>
          <w:rStyle w:val="Style_6_ch"/>
        </w:rPr>
        <w:t xml:space="preserve">  </w:t>
      </w:r>
      <w:r>
        <w:rPr>
          <w:rStyle w:val="Style_6_ch"/>
        </w:rPr>
        <w:t>(Прилагаются)</w:t>
      </w:r>
      <w:r>
        <w:rPr>
          <w:rStyle w:val="Style_6_ch"/>
        </w:rPr>
        <w:t>.</w:t>
      </w:r>
      <w:r>
        <w:rPr>
          <w:rStyle w:val="Style_6_ch"/>
        </w:rPr>
        <w:t xml:space="preserve">                 </w:t>
      </w:r>
      <w:r>
        <w:rPr>
          <w:rStyle w:val="Style_6_ch"/>
        </w:rPr>
        <w:t xml:space="preserve">       </w:t>
      </w:r>
    </w:p>
    <w:p w14:paraId="44000000">
      <w:pPr>
        <w:tabs>
          <w:tab w:leader="none" w:pos="993" w:val="left"/>
        </w:tabs>
        <w:ind/>
        <w:jc w:val="both"/>
      </w:pPr>
    </w:p>
    <w:p w14:paraId="45000000">
      <w:pPr>
        <w:tabs>
          <w:tab w:leader="none" w:pos="993" w:val="lef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>Опублико</w:t>
      </w:r>
      <w:r>
        <w:rPr>
          <w:sz w:val="24"/>
        </w:rPr>
        <w:t xml:space="preserve">вать настоящее </w:t>
      </w:r>
      <w:r>
        <w:rPr>
          <w:sz w:val="24"/>
        </w:rPr>
        <w:t>постановление</w:t>
      </w:r>
      <w:r>
        <w:rPr>
          <w:sz w:val="24"/>
        </w:rPr>
        <w:t xml:space="preserve"> в </w:t>
      </w:r>
      <w:r>
        <w:rPr>
          <w:sz w:val="24"/>
        </w:rPr>
        <w:t>Старо-Акульшетском</w:t>
      </w:r>
      <w:r>
        <w:rPr>
          <w:sz w:val="24"/>
        </w:rPr>
        <w:t xml:space="preserve"> Вестнике и ра</w:t>
      </w:r>
      <w:r>
        <w:rPr>
          <w:sz w:val="24"/>
        </w:rPr>
        <w:t>з</w:t>
      </w:r>
      <w:r>
        <w:rPr>
          <w:sz w:val="24"/>
        </w:rPr>
        <w:t>местить в сети Интернет на официал</w:t>
      </w:r>
      <w:r>
        <w:rPr>
          <w:sz w:val="24"/>
        </w:rPr>
        <w:t xml:space="preserve">ьном сайте администрации </w:t>
      </w:r>
      <w:r>
        <w:rPr>
          <w:sz w:val="24"/>
        </w:rPr>
        <w:t>Старо-</w:t>
      </w:r>
      <w:r>
        <w:rPr>
          <w:sz w:val="24"/>
        </w:rPr>
        <w:t>А</w:t>
      </w:r>
      <w:r>
        <w:rPr>
          <w:sz w:val="24"/>
        </w:rPr>
        <w:t>кульшетского</w:t>
      </w:r>
      <w:r>
        <w:rPr>
          <w:sz w:val="24"/>
        </w:rPr>
        <w:t xml:space="preserve"> м</w:t>
      </w:r>
      <w:r>
        <w:rPr>
          <w:sz w:val="24"/>
        </w:rPr>
        <w:t>у</w:t>
      </w:r>
      <w:r>
        <w:rPr>
          <w:sz w:val="24"/>
        </w:rPr>
        <w:t>ниципального образования</w:t>
      </w:r>
      <w:r>
        <w:rPr>
          <w:sz w:val="24"/>
        </w:rPr>
        <w:t>.</w:t>
      </w:r>
    </w:p>
    <w:p w14:paraId="46000000">
      <w:pPr>
        <w:ind/>
        <w:jc w:val="both"/>
        <w:outlineLvl w:val="0"/>
        <w:rPr>
          <w:sz w:val="24"/>
        </w:rPr>
      </w:pPr>
    </w:p>
    <w:p w14:paraId="47000000">
      <w:pPr>
        <w:ind/>
        <w:jc w:val="both"/>
        <w:outlineLvl w:val="0"/>
        <w:rPr>
          <w:sz w:val="24"/>
        </w:rPr>
      </w:pPr>
    </w:p>
    <w:p w14:paraId="48000000">
      <w:pPr>
        <w:ind/>
        <w:jc w:val="both"/>
        <w:outlineLvl w:val="0"/>
        <w:rPr>
          <w:sz w:val="24"/>
        </w:rPr>
      </w:pPr>
      <w:r>
        <w:rPr>
          <w:sz w:val="24"/>
        </w:rPr>
        <w:t>Г</w:t>
      </w:r>
      <w:r>
        <w:rPr>
          <w:sz w:val="24"/>
        </w:rPr>
        <w:t xml:space="preserve">лава </w:t>
      </w:r>
      <w:r>
        <w:rPr>
          <w:sz w:val="24"/>
        </w:rPr>
        <w:t>Старо-</w:t>
      </w:r>
      <w:r>
        <w:rPr>
          <w:sz w:val="24"/>
        </w:rPr>
        <w:t>А</w:t>
      </w:r>
      <w:r>
        <w:rPr>
          <w:sz w:val="24"/>
        </w:rPr>
        <w:t>кульшетского</w:t>
      </w:r>
      <w:r>
        <w:rPr>
          <w:sz w:val="24"/>
        </w:rPr>
        <w:t xml:space="preserve"> </w:t>
      </w:r>
    </w:p>
    <w:p w14:paraId="49000000">
      <w:pPr>
        <w:ind/>
        <w:jc w:val="both"/>
        <w:outlineLvl w:val="0"/>
        <w:rPr>
          <w:sz w:val="24"/>
        </w:rPr>
      </w:pPr>
      <w:r>
        <w:rPr>
          <w:sz w:val="24"/>
        </w:rPr>
        <w:t>муниципального</w:t>
      </w:r>
      <w:r>
        <w:rPr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 xml:space="preserve">           </w:t>
      </w:r>
      <w:r>
        <w:rPr>
          <w:sz w:val="24"/>
        </w:rPr>
        <w:t xml:space="preserve">    </w:t>
      </w:r>
      <w:bookmarkStart w:id="3" w:name="_GoBack"/>
      <w:bookmarkEnd w:id="3"/>
      <w:r>
        <w:rPr>
          <w:sz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sz w:val="24"/>
        </w:rPr>
        <w:t xml:space="preserve">     </w:t>
      </w:r>
      <w:r>
        <w:rPr>
          <w:sz w:val="24"/>
        </w:rPr>
        <w:t>Р.О. Леоненко</w:t>
      </w:r>
      <w:r>
        <w:rPr>
          <w:sz w:val="24"/>
        </w:rPr>
        <w:t xml:space="preserve">                            </w:t>
      </w:r>
      <w:r>
        <w:rPr>
          <w:sz w:val="24"/>
        </w:rPr>
        <w:t xml:space="preserve">    </w:t>
      </w:r>
    </w:p>
    <w:p w14:paraId="4A000000">
      <w:pPr>
        <w:pStyle w:val="Style_7"/>
        <w:widowControl w:val="1"/>
        <w:ind w:firstLine="0" w:left="0"/>
        <w:jc w:val="both"/>
        <w:outlineLvl w:val="0"/>
        <w:rPr>
          <w:sz w:val="24"/>
        </w:rPr>
      </w:pPr>
    </w:p>
    <w:p w14:paraId="4B000000">
      <w:pPr>
        <w:ind/>
        <w:jc w:val="both"/>
        <w:rPr>
          <w:b w:val="1"/>
        </w:rPr>
      </w:pPr>
    </w:p>
    <w:p w14:paraId="4C000000">
      <w:pPr>
        <w:sectPr>
          <w:headerReference r:id="rId1" w:type="first"/>
          <w:headerReference r:id="rId3" w:type="default"/>
          <w:footerReference r:id="rId2" w:type="first"/>
          <w:footerReference r:id="rId4" w:type="default"/>
          <w:pgSz w:h="16838" w:orient="portrait" w:w="11906"/>
          <w:pgMar w:bottom="1134" w:footer="709" w:gutter="0" w:header="425" w:left="1701" w:right="851" w:top="1134"/>
          <w:titlePg/>
        </w:sectPr>
      </w:pPr>
    </w:p>
    <w:p w14:paraId="4D000000">
      <w:pPr>
        <w:rPr>
          <w:spacing w:val="-10"/>
          <w:sz w:val="22"/>
        </w:rPr>
      </w:pPr>
    </w:p>
    <w:p w14:paraId="4E000000">
      <w:pPr>
        <w:ind w:firstLine="709" w:left="0"/>
        <w:jc w:val="right"/>
        <w:rPr>
          <w:spacing w:val="-10"/>
          <w:sz w:val="16"/>
        </w:rPr>
      </w:pPr>
      <w:r>
        <w:rPr>
          <w:spacing w:val="-10"/>
          <w:sz w:val="16"/>
        </w:rPr>
        <w:t>Приложение 3</w:t>
      </w:r>
    </w:p>
    <w:p w14:paraId="4F000000">
      <w:pPr>
        <w:ind/>
        <w:jc w:val="right"/>
        <w:rPr>
          <w:sz w:val="16"/>
        </w:rPr>
      </w:pPr>
      <w:r>
        <w:rPr>
          <w:sz w:val="16"/>
        </w:rPr>
        <w:t xml:space="preserve">к муниципальной программе Старо-Акульшетского муниципального образования </w:t>
      </w:r>
    </w:p>
    <w:p w14:paraId="50000000">
      <w:pPr>
        <w:ind/>
        <w:jc w:val="right"/>
        <w:rPr>
          <w:sz w:val="16"/>
        </w:rPr>
      </w:pPr>
      <w:r>
        <w:rPr>
          <w:sz w:val="16"/>
        </w:rPr>
        <w:t>"</w:t>
      </w:r>
      <w:r>
        <w:rPr>
          <w:b w:val="1"/>
        </w:rPr>
        <w:t xml:space="preserve"> </w:t>
      </w:r>
      <w:r>
        <w:rPr>
          <w:sz w:val="16"/>
        </w:rPr>
        <w:t>Приобретение жилых помещений (служебного жилья) для работников государственных и муниципальных учреж</w:t>
      </w:r>
      <w:r>
        <w:rPr>
          <w:sz w:val="16"/>
        </w:rPr>
        <w:t>дений,</w:t>
      </w:r>
    </w:p>
    <w:p w14:paraId="51000000">
      <w:pPr>
        <w:ind/>
        <w:jc w:val="right"/>
        <w:rPr>
          <w:sz w:val="16"/>
        </w:rPr>
      </w:pPr>
      <w:r>
        <w:rPr>
          <w:sz w:val="16"/>
        </w:rPr>
        <w:t>расположенных на территории Старо-Акульшетского муниципального образования</w:t>
      </w:r>
      <w:r>
        <w:rPr>
          <w:sz w:val="16"/>
        </w:rPr>
        <w:t xml:space="preserve"> "на 2022-2024 г</w:t>
      </w:r>
      <w:r>
        <w:rPr>
          <w:sz w:val="16"/>
        </w:rPr>
        <w:t>о</w:t>
      </w:r>
      <w:r>
        <w:rPr>
          <w:sz w:val="16"/>
        </w:rPr>
        <w:t>ды</w:t>
      </w:r>
    </w:p>
    <w:p w14:paraId="52000000">
      <w:pPr>
        <w:ind w:firstLine="709" w:left="0"/>
        <w:jc w:val="right"/>
        <w:rPr>
          <w:spacing w:val="-10"/>
        </w:rPr>
      </w:pPr>
    </w:p>
    <w:p w14:paraId="53000000">
      <w:pPr>
        <w:ind/>
        <w:jc w:val="center"/>
        <w:rPr>
          <w:b w:val="1"/>
        </w:rPr>
      </w:pPr>
    </w:p>
    <w:p w14:paraId="54000000">
      <w:pPr>
        <w:ind/>
        <w:jc w:val="center"/>
        <w:rPr>
          <w:b w:val="1"/>
        </w:rPr>
      </w:pPr>
    </w:p>
    <w:p w14:paraId="55000000">
      <w:pPr>
        <w:ind/>
        <w:jc w:val="center"/>
        <w:rPr>
          <w:b w:val="1"/>
        </w:rPr>
      </w:pPr>
      <w:r>
        <w:rPr>
          <w:b w:val="1"/>
        </w:rPr>
        <w:t>РЕСУРСНОЕ  ОБЕСПЕЧЕНИЕ РЕАЛИЗАЦИИ ПРОГРАММЫ</w:t>
      </w:r>
    </w:p>
    <w:p w14:paraId="56000000">
      <w:pPr>
        <w:ind/>
        <w:jc w:val="center"/>
        <w:rPr>
          <w:b w:val="1"/>
        </w:rPr>
      </w:pPr>
    </w:p>
    <w:p w14:paraId="57000000">
      <w:pPr>
        <w:widowControl w:val="0"/>
        <w:ind/>
        <w:jc w:val="center"/>
        <w:rPr>
          <w:b w:val="1"/>
        </w:rPr>
      </w:pPr>
      <w:r>
        <w:rPr>
          <w:b w:val="1"/>
        </w:rPr>
        <w:t>"</w:t>
      </w:r>
      <w:r>
        <w:rPr>
          <w:b w:val="1"/>
        </w:rPr>
        <w:t xml:space="preserve"> Приобретение жилых помещений (служебного жилья) для работников государственных и муниципальных учреждений, расположе</w:t>
      </w:r>
      <w:r>
        <w:rPr>
          <w:b w:val="1"/>
        </w:rPr>
        <w:t>н</w:t>
      </w:r>
      <w:r>
        <w:rPr>
          <w:b w:val="1"/>
        </w:rPr>
        <w:t>ных на территории Старо-Акульшетского муниципального образования</w:t>
      </w:r>
      <w:r>
        <w:rPr>
          <w:b w:val="1"/>
        </w:rPr>
        <w:t xml:space="preserve"> "на 202</w:t>
      </w:r>
      <w:r>
        <w:rPr>
          <w:b w:val="1"/>
        </w:rPr>
        <w:t>2</w:t>
      </w:r>
      <w:r>
        <w:rPr>
          <w:b w:val="1"/>
        </w:rPr>
        <w:t>-202</w:t>
      </w:r>
      <w:r>
        <w:rPr>
          <w:b w:val="1"/>
        </w:rPr>
        <w:t>4</w:t>
      </w:r>
      <w:r>
        <w:rPr>
          <w:b w:val="1"/>
        </w:rPr>
        <w:t xml:space="preserve"> г</w:t>
      </w:r>
      <w:r>
        <w:rPr>
          <w:b w:val="1"/>
        </w:rPr>
        <w:t>о</w:t>
      </w:r>
      <w:r>
        <w:rPr>
          <w:b w:val="1"/>
        </w:rPr>
        <w:t>ды</w:t>
      </w:r>
    </w:p>
    <w:p w14:paraId="58000000">
      <w:pPr>
        <w:widowControl w:val="0"/>
        <w:ind/>
        <w:jc w:val="center"/>
        <w:rPr>
          <w:i w:val="1"/>
          <w:color w:val="FF0000"/>
        </w:rPr>
      </w:pPr>
    </w:p>
    <w:tbl>
      <w:tblPr>
        <w:tblStyle w:val="Style_8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56"/>
        <w:gridCol w:w="3344"/>
        <w:gridCol w:w="2932"/>
        <w:gridCol w:w="38"/>
        <w:gridCol w:w="2988"/>
        <w:gridCol w:w="1557"/>
        <w:gridCol w:w="1534"/>
        <w:gridCol w:w="1215"/>
      </w:tblGrid>
      <w:tr>
        <w:tc>
          <w:tcPr>
            <w:tcW w:type="dxa" w:w="8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ind/>
              <w:contextualSpacing w:val="1"/>
              <w:jc w:val="center"/>
              <w:rPr>
                <w:b w:val="1"/>
              </w:rPr>
            </w:pPr>
          </w:p>
        </w:tc>
        <w:tc>
          <w:tcPr>
            <w:tcW w:type="dxa" w:w="33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00000">
            <w:pPr>
              <w:ind/>
              <w:contextualSpacing w:val="1"/>
              <w:jc w:val="center"/>
              <w:rPr>
                <w:b w:val="1"/>
              </w:rPr>
            </w:pPr>
            <w:r>
              <w:rPr>
                <w:b w:val="1"/>
              </w:rPr>
              <w:t>Ответственный исполнитель, С</w:t>
            </w:r>
            <w:r>
              <w:rPr>
                <w:b w:val="1"/>
              </w:rPr>
              <w:t>о</w:t>
            </w:r>
            <w:r>
              <w:rPr>
                <w:b w:val="1"/>
              </w:rPr>
              <w:t>испо</w:t>
            </w:r>
            <w:r>
              <w:rPr>
                <w:b w:val="1"/>
              </w:rPr>
              <w:t>л</w:t>
            </w:r>
            <w:r>
              <w:rPr>
                <w:b w:val="1"/>
              </w:rPr>
              <w:t>нитель</w:t>
            </w:r>
          </w:p>
        </w:tc>
        <w:tc>
          <w:tcPr>
            <w:tcW w:type="dxa" w:w="29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00000">
            <w:pPr>
              <w:ind/>
              <w:contextualSpacing w:val="1"/>
              <w:jc w:val="center"/>
              <w:rPr>
                <w:b w:val="1"/>
              </w:rPr>
            </w:pPr>
            <w:r>
              <w:rPr>
                <w:b w:val="1"/>
              </w:rPr>
              <w:t>Источник финансирования</w:t>
            </w:r>
          </w:p>
        </w:tc>
        <w:tc>
          <w:tcPr>
            <w:tcW w:type="dxa" w:w="733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ind/>
              <w:contextualSpacing w:val="1"/>
              <w:jc w:val="center"/>
              <w:rPr>
                <w:b w:val="1"/>
              </w:rPr>
            </w:pPr>
            <w:r>
              <w:rPr>
                <w:b w:val="1"/>
              </w:rPr>
              <w:t>Объем финансирования, тыс. руб.</w:t>
            </w:r>
          </w:p>
        </w:tc>
      </w:tr>
      <w:tr>
        <w:tc>
          <w:tcPr>
            <w:tcW w:type="dxa" w:w="8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3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9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02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00000">
            <w:pPr>
              <w:ind/>
              <w:contextualSpacing w:val="1"/>
              <w:jc w:val="center"/>
              <w:rPr>
                <w:b w:val="1"/>
              </w:rPr>
            </w:pPr>
            <w:r>
              <w:rPr>
                <w:b w:val="1"/>
              </w:rPr>
              <w:t>за весь период реализации муниципальной програ</w:t>
            </w:r>
            <w:r>
              <w:rPr>
                <w:b w:val="1"/>
              </w:rPr>
              <w:t>м</w:t>
            </w:r>
            <w:r>
              <w:rPr>
                <w:b w:val="1"/>
              </w:rPr>
              <w:t>мы</w:t>
            </w:r>
          </w:p>
        </w:tc>
        <w:tc>
          <w:tcPr>
            <w:tcW w:type="dxa" w:w="430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00000">
            <w:pPr>
              <w:ind/>
              <w:contextualSpacing w:val="1"/>
              <w:jc w:val="center"/>
              <w:rPr>
                <w:b w:val="1"/>
              </w:rPr>
            </w:pPr>
            <w:r>
              <w:rPr>
                <w:b w:val="1"/>
              </w:rPr>
              <w:t>в том числе по годам:</w:t>
            </w:r>
          </w:p>
        </w:tc>
      </w:tr>
      <w:tr>
        <w:tc>
          <w:tcPr>
            <w:tcW w:type="dxa" w:w="8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3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9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02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00000">
            <w:pPr>
              <w:ind/>
              <w:contextualSpacing w:val="1"/>
              <w:jc w:val="center"/>
              <w:rPr>
                <w:b w:val="1"/>
              </w:rPr>
            </w:pPr>
            <w:r>
              <w:rPr>
                <w:b w:val="1"/>
              </w:rPr>
              <w:t>202</w:t>
            </w:r>
            <w:r>
              <w:rPr>
                <w:b w:val="1"/>
              </w:rPr>
              <w:t>2</w:t>
            </w:r>
            <w:r>
              <w:rPr>
                <w:b w:val="1"/>
              </w:rPr>
              <w:t xml:space="preserve"> год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ind/>
              <w:contextualSpacing w:val="1"/>
              <w:jc w:val="center"/>
              <w:rPr>
                <w:b w:val="1"/>
              </w:rPr>
            </w:pPr>
            <w:r>
              <w:rPr>
                <w:b w:val="1"/>
              </w:rPr>
              <w:t>202</w:t>
            </w:r>
            <w:r>
              <w:rPr>
                <w:b w:val="1"/>
              </w:rPr>
              <w:t>3</w:t>
            </w:r>
            <w:r>
              <w:rPr>
                <w:b w:val="1"/>
              </w:rPr>
              <w:t xml:space="preserve"> год</w:t>
            </w: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00000">
            <w:pPr>
              <w:ind/>
              <w:contextualSpacing w:val="1"/>
              <w:jc w:val="center"/>
              <w:rPr>
                <w:b w:val="1"/>
              </w:rPr>
            </w:pPr>
            <w:r>
              <w:rPr>
                <w:b w:val="1"/>
              </w:rPr>
              <w:t>202</w:t>
            </w:r>
            <w:r>
              <w:rPr>
                <w:b w:val="1"/>
              </w:rPr>
              <w:t>4</w:t>
            </w:r>
            <w:r>
              <w:rPr>
                <w:b w:val="1"/>
              </w:rPr>
              <w:t xml:space="preserve"> год</w:t>
            </w:r>
          </w:p>
        </w:tc>
      </w:tr>
      <w:tr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ind/>
              <w:contextualSpacing w:val="1"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3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/>
              <w:contextualSpacing w:val="1"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type="dxa" w:w="2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ind/>
              <w:contextualSpacing w:val="1"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  <w:tc>
          <w:tcPr>
            <w:tcW w:type="dxa" w:w="302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ind/>
              <w:contextualSpacing w:val="1"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/>
              <w:contextualSpacing w:val="1"/>
              <w:jc w:val="center"/>
              <w:rPr>
                <w:b w:val="1"/>
              </w:rPr>
            </w:pPr>
            <w:r>
              <w:rPr>
                <w:b w:val="1"/>
              </w:rPr>
              <w:t>5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ind/>
              <w:contextualSpacing w:val="1"/>
              <w:jc w:val="center"/>
              <w:rPr>
                <w:b w:val="1"/>
              </w:rPr>
            </w:pPr>
            <w:r>
              <w:rPr>
                <w:b w:val="1"/>
              </w:rPr>
              <w:t>6</w:t>
            </w: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ind/>
              <w:contextualSpacing w:val="1"/>
              <w:jc w:val="center"/>
              <w:rPr>
                <w:b w:val="1"/>
              </w:rPr>
            </w:pPr>
            <w:r>
              <w:rPr>
                <w:b w:val="1"/>
              </w:rPr>
              <w:t>7</w:t>
            </w:r>
          </w:p>
        </w:tc>
      </w:tr>
      <w:tr>
        <w:tc>
          <w:tcPr>
            <w:tcW w:type="dxa" w:w="8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ind/>
              <w:contextualSpacing w:val="1"/>
              <w:jc w:val="center"/>
            </w:pPr>
            <w:r>
              <w:t>1</w:t>
            </w:r>
          </w:p>
        </w:tc>
        <w:tc>
          <w:tcPr>
            <w:tcW w:type="dxa" w:w="33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ind/>
              <w:contextualSpacing w:val="1"/>
              <w:jc w:val="center"/>
            </w:pPr>
            <w:r>
              <w:t>Администрация Старо-Акульшетского муниципального образования</w:t>
            </w:r>
          </w:p>
          <w:p w14:paraId="6B000000">
            <w:pPr>
              <w:ind/>
              <w:contextualSpacing w:val="1"/>
              <w:jc w:val="center"/>
            </w:pPr>
          </w:p>
          <w:p w14:paraId="6C000000">
            <w:pPr>
              <w:ind/>
              <w:contextualSpacing w:val="1"/>
              <w:jc w:val="center"/>
            </w:pPr>
          </w:p>
          <w:p w14:paraId="6D000000">
            <w:pPr>
              <w:ind/>
              <w:contextualSpacing w:val="1"/>
              <w:jc w:val="center"/>
            </w:pPr>
          </w:p>
          <w:p w14:paraId="6E000000">
            <w:pPr>
              <w:ind/>
              <w:contextualSpacing w:val="1"/>
              <w:jc w:val="center"/>
            </w:pPr>
          </w:p>
          <w:p w14:paraId="6F000000">
            <w:pPr>
              <w:ind/>
              <w:contextualSpacing w:val="1"/>
            </w:pPr>
          </w:p>
        </w:tc>
        <w:tc>
          <w:tcPr>
            <w:tcW w:type="dxa" w:w="29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ind/>
              <w:contextualSpacing w:val="1"/>
              <w:jc w:val="center"/>
            </w:pPr>
            <w:r>
              <w:t>Всего, в том числе:</w:t>
            </w:r>
          </w:p>
        </w:tc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ind/>
              <w:jc w:val="center"/>
            </w:pPr>
            <w:r>
              <w:t>113</w:t>
            </w:r>
            <w:r>
              <w:t>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ind/>
              <w:jc w:val="center"/>
            </w:pPr>
            <w:r>
              <w:t>28</w:t>
            </w:r>
            <w:r>
              <w:t>00,00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ind/>
              <w:jc w:val="center"/>
            </w:pPr>
            <w:r>
              <w:t>4000,00</w:t>
            </w: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ind/>
              <w:jc w:val="center"/>
            </w:pPr>
            <w:r>
              <w:t>4500,00</w:t>
            </w:r>
          </w:p>
        </w:tc>
      </w:tr>
      <w:tr>
        <w:tc>
          <w:tcPr>
            <w:tcW w:type="dxa" w:w="8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3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ind/>
              <w:contextualSpacing w:val="1"/>
              <w:jc w:val="center"/>
            </w:pPr>
            <w:r>
              <w:t>Федеральный бюджет</w:t>
            </w:r>
          </w:p>
        </w:tc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ind/>
              <w:jc w:val="center"/>
            </w:pPr>
            <w:r>
              <w:t>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ind/>
              <w:jc w:val="center"/>
            </w:pPr>
            <w:r>
              <w:t>0,00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ind/>
              <w:jc w:val="center"/>
            </w:pPr>
            <w:r>
              <w:t>0,00</w:t>
            </w: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ind/>
              <w:jc w:val="center"/>
            </w:pPr>
            <w:r>
              <w:t>0,00</w:t>
            </w:r>
          </w:p>
        </w:tc>
      </w:tr>
      <w:tr>
        <w:tc>
          <w:tcPr>
            <w:tcW w:type="dxa" w:w="8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3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ind/>
              <w:contextualSpacing w:val="1"/>
              <w:jc w:val="center"/>
            </w:pPr>
            <w:r>
              <w:t>Областной бюджет</w:t>
            </w:r>
          </w:p>
        </w:tc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ind/>
              <w:jc w:val="center"/>
            </w:pPr>
            <w:r>
              <w:t>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ind/>
              <w:jc w:val="center"/>
            </w:pPr>
            <w:r>
              <w:t>0,00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ind/>
              <w:jc w:val="center"/>
            </w:pPr>
            <w:r>
              <w:t>0,00</w:t>
            </w: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ind/>
              <w:jc w:val="center"/>
            </w:pPr>
            <w:r>
              <w:t>0,00</w:t>
            </w:r>
          </w:p>
        </w:tc>
      </w:tr>
      <w:tr>
        <w:tc>
          <w:tcPr>
            <w:tcW w:type="dxa" w:w="8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3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ind/>
              <w:contextualSpacing w:val="1"/>
              <w:jc w:val="center"/>
            </w:pPr>
            <w:r>
              <w:t>Районный   бюджет</w:t>
            </w:r>
          </w:p>
        </w:tc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ind/>
              <w:jc w:val="center"/>
            </w:pPr>
            <w:r>
              <w:t>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ind/>
              <w:jc w:val="center"/>
            </w:pPr>
            <w:r>
              <w:t>0,00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ind/>
              <w:jc w:val="center"/>
            </w:pPr>
            <w:r>
              <w:t>0,00</w:t>
            </w: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ind/>
              <w:jc w:val="center"/>
            </w:pPr>
            <w:r>
              <w:t>0,00</w:t>
            </w:r>
          </w:p>
        </w:tc>
      </w:tr>
      <w:tr>
        <w:trPr>
          <w:trHeight w:hRule="atLeast" w:val="516"/>
        </w:trPr>
        <w:tc>
          <w:tcPr>
            <w:tcW w:type="dxa" w:w="8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3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ind/>
              <w:contextualSpacing w:val="1"/>
              <w:jc w:val="center"/>
            </w:pPr>
            <w:r>
              <w:t>Местный  бюджет</w:t>
            </w:r>
          </w:p>
        </w:tc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ind/>
              <w:jc w:val="center"/>
            </w:pPr>
            <w:r>
              <w:t>1</w:t>
            </w:r>
            <w:r>
              <w:t>13</w:t>
            </w:r>
            <w:r>
              <w:t>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ind/>
              <w:jc w:val="center"/>
            </w:pPr>
            <w:r>
              <w:t>28</w:t>
            </w:r>
            <w:r>
              <w:t>00,00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ind/>
              <w:jc w:val="center"/>
            </w:pPr>
            <w:r>
              <w:t>4000,00</w:t>
            </w: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ind/>
              <w:jc w:val="center"/>
            </w:pPr>
            <w:r>
              <w:t>4500,00</w:t>
            </w:r>
          </w:p>
        </w:tc>
      </w:tr>
    </w:tbl>
    <w:p w14:paraId="89000000">
      <w:pPr>
        <w:widowControl w:val="0"/>
        <w:ind/>
        <w:jc w:val="right"/>
        <w:outlineLvl w:val="2"/>
        <w:rPr>
          <w:sz w:val="22"/>
        </w:rPr>
      </w:pPr>
    </w:p>
    <w:p w14:paraId="8A000000">
      <w:pPr>
        <w:widowControl w:val="0"/>
        <w:ind/>
        <w:jc w:val="right"/>
        <w:outlineLvl w:val="2"/>
        <w:rPr>
          <w:sz w:val="22"/>
        </w:rPr>
      </w:pPr>
    </w:p>
    <w:p w14:paraId="8B000000">
      <w:pPr>
        <w:widowControl w:val="0"/>
        <w:ind/>
        <w:jc w:val="right"/>
        <w:outlineLvl w:val="2"/>
        <w:rPr>
          <w:sz w:val="22"/>
        </w:rPr>
      </w:pPr>
    </w:p>
    <w:p w14:paraId="8C000000">
      <w:pPr>
        <w:widowControl w:val="0"/>
        <w:ind/>
        <w:jc w:val="right"/>
        <w:outlineLvl w:val="2"/>
        <w:rPr>
          <w:sz w:val="22"/>
        </w:rPr>
      </w:pPr>
    </w:p>
    <w:p w14:paraId="8D000000">
      <w:pPr>
        <w:widowControl w:val="0"/>
        <w:ind/>
        <w:jc w:val="right"/>
        <w:outlineLvl w:val="2"/>
        <w:rPr>
          <w:sz w:val="22"/>
        </w:rPr>
      </w:pPr>
    </w:p>
    <w:p w14:paraId="8E000000">
      <w:pPr>
        <w:widowControl w:val="0"/>
        <w:ind/>
        <w:jc w:val="right"/>
        <w:outlineLvl w:val="2"/>
        <w:rPr>
          <w:sz w:val="22"/>
        </w:rPr>
      </w:pPr>
    </w:p>
    <w:p w14:paraId="8F000000">
      <w:pPr>
        <w:widowControl w:val="0"/>
        <w:ind/>
        <w:jc w:val="right"/>
        <w:outlineLvl w:val="2"/>
        <w:rPr>
          <w:sz w:val="22"/>
        </w:rPr>
      </w:pPr>
    </w:p>
    <w:p w14:paraId="90000000">
      <w:pPr>
        <w:widowControl w:val="0"/>
        <w:ind/>
        <w:jc w:val="right"/>
        <w:outlineLvl w:val="2"/>
        <w:rPr>
          <w:sz w:val="22"/>
        </w:rPr>
      </w:pPr>
    </w:p>
    <w:p w14:paraId="91000000">
      <w:pPr>
        <w:widowControl w:val="0"/>
        <w:ind/>
        <w:jc w:val="right"/>
        <w:outlineLvl w:val="2"/>
        <w:rPr>
          <w:sz w:val="22"/>
        </w:rPr>
      </w:pPr>
    </w:p>
    <w:p w14:paraId="92000000">
      <w:pPr>
        <w:rPr>
          <w:sz w:val="22"/>
        </w:rPr>
      </w:pPr>
    </w:p>
    <w:p w14:paraId="93000000">
      <w:pPr>
        <w:rPr>
          <w:sz w:val="22"/>
        </w:rPr>
      </w:pPr>
    </w:p>
    <w:p w14:paraId="94000000">
      <w:pPr>
        <w:rPr>
          <w:sz w:val="22"/>
        </w:rPr>
      </w:pPr>
    </w:p>
    <w:p w14:paraId="95000000">
      <w:pPr>
        <w:ind w:firstLine="709" w:left="0"/>
        <w:jc w:val="right"/>
        <w:rPr>
          <w:spacing w:val="-10"/>
          <w:sz w:val="16"/>
        </w:rPr>
      </w:pPr>
    </w:p>
    <w:p w14:paraId="96000000">
      <w:pPr>
        <w:ind w:firstLine="709" w:left="0"/>
        <w:jc w:val="right"/>
        <w:rPr>
          <w:spacing w:val="-10"/>
          <w:sz w:val="16"/>
        </w:rPr>
      </w:pPr>
      <w:r>
        <w:rPr>
          <w:spacing w:val="-10"/>
          <w:sz w:val="16"/>
        </w:rPr>
        <w:t xml:space="preserve">Приложение </w:t>
      </w:r>
      <w:r>
        <w:rPr>
          <w:spacing w:val="-10"/>
          <w:sz w:val="16"/>
        </w:rPr>
        <w:t>4</w:t>
      </w:r>
    </w:p>
    <w:p w14:paraId="97000000">
      <w:pPr>
        <w:ind/>
        <w:jc w:val="right"/>
        <w:rPr>
          <w:sz w:val="16"/>
        </w:rPr>
      </w:pPr>
      <w:r>
        <w:rPr>
          <w:sz w:val="16"/>
        </w:rPr>
        <w:t xml:space="preserve">к муниципальной программе Старо-Акульшетского муниципального образования </w:t>
      </w:r>
    </w:p>
    <w:p w14:paraId="98000000">
      <w:pPr>
        <w:ind/>
        <w:jc w:val="right"/>
        <w:rPr>
          <w:sz w:val="16"/>
        </w:rPr>
      </w:pPr>
      <w:r>
        <w:rPr>
          <w:sz w:val="16"/>
        </w:rPr>
        <w:t>"</w:t>
      </w:r>
      <w:r>
        <w:rPr>
          <w:b w:val="1"/>
        </w:rPr>
        <w:t xml:space="preserve"> </w:t>
      </w:r>
      <w:r>
        <w:rPr>
          <w:sz w:val="16"/>
        </w:rPr>
        <w:t>Приобретение жилых помещений (служебного жилья) для работников государственных и муниципальных учреж</w:t>
      </w:r>
      <w:r>
        <w:rPr>
          <w:sz w:val="16"/>
        </w:rPr>
        <w:t>дений,</w:t>
      </w:r>
    </w:p>
    <w:p w14:paraId="99000000">
      <w:pPr>
        <w:ind/>
        <w:jc w:val="right"/>
        <w:rPr>
          <w:sz w:val="16"/>
        </w:rPr>
      </w:pPr>
      <w:r>
        <w:rPr>
          <w:sz w:val="16"/>
        </w:rPr>
        <w:t>расположенных на территории Старо-Акульшетского муниципального образования</w:t>
      </w:r>
      <w:r>
        <w:rPr>
          <w:sz w:val="16"/>
        </w:rPr>
        <w:t xml:space="preserve"> "на 2022-2024 г</w:t>
      </w:r>
      <w:r>
        <w:rPr>
          <w:sz w:val="16"/>
        </w:rPr>
        <w:t>о</w:t>
      </w:r>
      <w:r>
        <w:rPr>
          <w:sz w:val="16"/>
        </w:rPr>
        <w:t>ды</w:t>
      </w:r>
    </w:p>
    <w:p w14:paraId="9A000000">
      <w:pPr>
        <w:spacing w:beforeAutospacing="on"/>
        <w:ind/>
        <w:jc w:val="center"/>
        <w:rPr>
          <w:b w:val="1"/>
          <w:sz w:val="28"/>
        </w:rPr>
      </w:pPr>
      <w:r>
        <w:rPr>
          <w:b w:val="1"/>
          <w:sz w:val="28"/>
        </w:rPr>
        <w:t>Ожидаемые конечные результаты реализации муниципальной программы</w:t>
      </w:r>
    </w:p>
    <w:p w14:paraId="9B000000">
      <w:pPr>
        <w:widowControl w:val="0"/>
        <w:ind/>
        <w:jc w:val="center"/>
        <w:rPr>
          <w:b w:val="1"/>
        </w:rPr>
      </w:pPr>
      <w:r>
        <w:rPr>
          <w:b w:val="1"/>
        </w:rPr>
        <w:t>П</w:t>
      </w:r>
      <w:r>
        <w:rPr>
          <w:b w:val="1"/>
        </w:rPr>
        <w:t>рограммы</w:t>
      </w:r>
      <w:r>
        <w:t xml:space="preserve">  </w:t>
      </w:r>
      <w:r>
        <w:rPr>
          <w:b w:val="1"/>
        </w:rPr>
        <w:t>"</w:t>
      </w:r>
      <w:r>
        <w:rPr>
          <w:b w:val="1"/>
        </w:rPr>
        <w:t xml:space="preserve"> Приобретение жилых помещений (служебного жилья) для работников государственных и муниципальных учреждений, расположенных на территории Старо-Акульшетского муниципального образования</w:t>
      </w:r>
      <w:r>
        <w:rPr>
          <w:b w:val="1"/>
        </w:rPr>
        <w:t xml:space="preserve"> "на 202</w:t>
      </w:r>
      <w:r>
        <w:rPr>
          <w:b w:val="1"/>
        </w:rPr>
        <w:t>2</w:t>
      </w:r>
      <w:r>
        <w:rPr>
          <w:b w:val="1"/>
        </w:rPr>
        <w:t>-202</w:t>
      </w:r>
      <w:r>
        <w:rPr>
          <w:b w:val="1"/>
        </w:rPr>
        <w:t>4</w:t>
      </w:r>
      <w:r>
        <w:rPr>
          <w:b w:val="1"/>
        </w:rPr>
        <w:t xml:space="preserve"> г</w:t>
      </w:r>
      <w:r>
        <w:rPr>
          <w:b w:val="1"/>
        </w:rPr>
        <w:t>о</w:t>
      </w:r>
      <w:r>
        <w:rPr>
          <w:b w:val="1"/>
        </w:rPr>
        <w:t>ды</w:t>
      </w:r>
    </w:p>
    <w:p w14:paraId="9C000000">
      <w:pPr>
        <w:widowControl w:val="0"/>
        <w:ind/>
        <w:jc w:val="center"/>
        <w:rPr>
          <w:color w:val="FF0000"/>
        </w:rPr>
      </w:pPr>
    </w:p>
    <w:tbl>
      <w:tblPr>
        <w:tblStyle w:val="Style_8"/>
        <w:tblLayout w:type="fixed"/>
        <w:tblCellMar>
          <w:left w:type="dxa" w:w="0"/>
          <w:right w:type="dxa" w:w="0"/>
        </w:tblCellMar>
      </w:tblPr>
      <w:tblGrid>
        <w:gridCol w:w="498"/>
        <w:gridCol w:w="2414"/>
        <w:gridCol w:w="1647"/>
        <w:gridCol w:w="1268"/>
        <w:gridCol w:w="2281"/>
        <w:gridCol w:w="1268"/>
        <w:gridCol w:w="1395"/>
        <w:gridCol w:w="1146"/>
        <w:gridCol w:w="1140"/>
        <w:gridCol w:w="1089"/>
      </w:tblGrid>
      <w:tr>
        <w:trPr>
          <w:trHeight w:hRule="atLeast" w:val="785"/>
        </w:trPr>
        <w:tc>
          <w:tcPr>
            <w:tcW w:type="dxa" w:w="4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00000">
            <w:pPr>
              <w:spacing w:beforeAutospacing="on"/>
              <w:ind/>
              <w:jc w:val="center"/>
            </w:pPr>
            <w:r>
              <w:t>№</w:t>
            </w:r>
          </w:p>
          <w:p w14:paraId="9E000000">
            <w:pPr>
              <w:spacing w:beforeAutospacing="on"/>
              <w:ind/>
              <w:jc w:val="center"/>
            </w:pPr>
            <w:r>
              <w:t>п/п</w:t>
            </w:r>
          </w:p>
        </w:tc>
        <w:tc>
          <w:tcPr>
            <w:tcW w:type="dxa" w:w="2414"/>
            <w:vMerge w:val="restart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00000">
            <w:pPr>
              <w:spacing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Задачи, направленные на до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тижение цели</w:t>
            </w:r>
          </w:p>
        </w:tc>
        <w:tc>
          <w:tcPr>
            <w:tcW w:type="dxa" w:w="2915"/>
            <w:gridSpan w:val="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00000">
            <w:pPr>
              <w:ind/>
              <w:jc w:val="center"/>
            </w:pPr>
            <w:r>
              <w:t>Планируемый объем финансир</w:t>
            </w:r>
            <w:r>
              <w:t>о</w:t>
            </w:r>
            <w:r>
              <w:t>вания на решение данной задачи</w:t>
            </w:r>
          </w:p>
          <w:p w14:paraId="A1000000">
            <w:pPr>
              <w:ind/>
              <w:jc w:val="center"/>
            </w:pPr>
            <w:r>
              <w:t>(тыс. руб.)</w:t>
            </w:r>
          </w:p>
        </w:tc>
        <w:tc>
          <w:tcPr>
            <w:tcW w:type="dxa" w:w="2281"/>
            <w:vMerge w:val="restart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00000">
            <w:pPr>
              <w:spacing w:beforeAutospacing="on"/>
              <w:ind/>
              <w:jc w:val="center"/>
            </w:pPr>
            <w:r>
              <w:t>Количественные и/или качественные целевые показатели, характер</w:t>
            </w:r>
            <w:r>
              <w:t>и</w:t>
            </w:r>
            <w:r>
              <w:t>зующие достижение целей и решение з</w:t>
            </w:r>
            <w:r>
              <w:t>а</w:t>
            </w:r>
            <w:r>
              <w:t>дач </w:t>
            </w:r>
          </w:p>
          <w:p w14:paraId="A3000000">
            <w:pPr>
              <w:spacing w:beforeAutospacing="on"/>
              <w:ind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type="dxa" w:w="1268"/>
            <w:vMerge w:val="restart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00000">
            <w:pPr>
              <w:spacing w:beforeAutospacing="on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Единица измерения</w:t>
            </w:r>
          </w:p>
        </w:tc>
        <w:tc>
          <w:tcPr>
            <w:tcW w:type="dxa" w:w="1395"/>
            <w:vMerge w:val="restart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00000">
            <w:pPr>
              <w:spacing w:beforeAutospacing="on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Базовое значение пок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зателя (на начало ре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лизации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граммы)</w:t>
            </w:r>
          </w:p>
          <w:p w14:paraId="A6000000">
            <w:pPr>
              <w:spacing w:beforeAutospacing="on"/>
              <w:ind/>
              <w:jc w:val="center"/>
              <w:rPr>
                <w:color w:val="FF0000"/>
                <w:sz w:val="22"/>
              </w:rPr>
            </w:pPr>
          </w:p>
        </w:tc>
        <w:tc>
          <w:tcPr>
            <w:tcW w:type="dxa" w:w="3375"/>
            <w:gridSpan w:val="3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00000">
            <w:pPr>
              <w:spacing w:beforeAutospacing="on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Планируемое значение показат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ля по годам реализации</w:t>
            </w:r>
            <w:r>
              <w:rPr>
                <w:sz w:val="22"/>
              </w:rPr>
              <w:t xml:space="preserve"> </w:t>
            </w:r>
          </w:p>
        </w:tc>
      </w:tr>
      <w:tr>
        <w:trPr>
          <w:trHeight w:hRule="atLeast" w:val="771"/>
        </w:trPr>
        <w:tc>
          <w:tcPr>
            <w:tcW w:type="dxa" w:w="4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414"/>
            <w:gridSpan w:val="1"/>
            <w:vMerge w:val="continue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647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00000">
            <w:pPr>
              <w:spacing w:beforeAutospacing="on"/>
              <w:ind/>
              <w:jc w:val="center"/>
            </w:pPr>
            <w:r>
              <w:t>Бюджет Старо-Акульшетского м</w:t>
            </w:r>
            <w:r>
              <w:t>у</w:t>
            </w:r>
            <w:r>
              <w:t>ниципального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type="dxa" w:w="1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00000">
            <w:pPr>
              <w:spacing w:beforeAutospacing="on"/>
              <w:ind/>
              <w:jc w:val="center"/>
            </w:pPr>
            <w:r>
              <w:t>Другие исто</w:t>
            </w:r>
            <w:r>
              <w:t>ч</w:t>
            </w:r>
            <w:r>
              <w:t>ники</w:t>
            </w:r>
          </w:p>
        </w:tc>
        <w:tc>
          <w:tcPr>
            <w:tcW w:type="dxa" w:w="2281"/>
            <w:gridSpan w:val="1"/>
            <w:vMerge w:val="continue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395"/>
            <w:gridSpan w:val="1"/>
            <w:vMerge w:val="continue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14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00000">
            <w:pPr>
              <w:spacing w:beforeAutospacing="on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z w:val="22"/>
              </w:rPr>
              <w:t>22</w:t>
            </w:r>
            <w:r>
              <w:rPr>
                <w:sz w:val="22"/>
              </w:rPr>
              <w:t>год</w:t>
            </w:r>
          </w:p>
        </w:tc>
        <w:tc>
          <w:tcPr>
            <w:tcW w:type="dxa" w:w="114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00000">
            <w:pPr>
              <w:spacing w:beforeAutospacing="on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z w:val="22"/>
              </w:rPr>
              <w:t>23</w:t>
            </w:r>
            <w:r>
              <w:rPr>
                <w:sz w:val="22"/>
              </w:rPr>
              <w:t xml:space="preserve"> год</w:t>
            </w:r>
          </w:p>
        </w:tc>
        <w:tc>
          <w:tcPr>
            <w:tcW w:type="dxa" w:w="108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00000">
            <w:pPr>
              <w:spacing w:beforeAutospacing="on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z w:val="22"/>
              </w:rPr>
              <w:t>24</w:t>
            </w:r>
            <w:r>
              <w:rPr>
                <w:sz w:val="22"/>
              </w:rPr>
              <w:t xml:space="preserve"> год</w:t>
            </w:r>
          </w:p>
        </w:tc>
      </w:tr>
      <w:tr>
        <w:tc>
          <w:tcPr>
            <w:tcW w:type="dxa" w:w="498"/>
            <w:tcBorders>
              <w:top w:sz="4" w:val="nil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00000">
            <w:pPr>
              <w:spacing w:beforeAutospacing="on"/>
              <w:ind/>
              <w:jc w:val="center"/>
            </w:pPr>
            <w:r>
              <w:t>1</w:t>
            </w:r>
          </w:p>
        </w:tc>
        <w:tc>
          <w:tcPr>
            <w:tcW w:type="dxa" w:w="241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00000">
            <w:pPr>
              <w:spacing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1647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00000">
            <w:pPr>
              <w:spacing w:beforeAutospacing="on"/>
              <w:ind/>
              <w:jc w:val="center"/>
            </w:pPr>
            <w:r>
              <w:t>3</w:t>
            </w:r>
          </w:p>
        </w:tc>
        <w:tc>
          <w:tcPr>
            <w:tcW w:type="dxa" w:w="1268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00000">
            <w:pPr>
              <w:spacing w:beforeAutospacing="on"/>
              <w:ind/>
              <w:jc w:val="center"/>
            </w:pPr>
            <w:r>
              <w:t>4</w:t>
            </w:r>
          </w:p>
        </w:tc>
        <w:tc>
          <w:tcPr>
            <w:tcW w:type="dxa" w:w="2281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00000">
            <w:pPr>
              <w:spacing w:beforeAutospacing="on"/>
              <w:ind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type="dxa" w:w="1268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00000">
            <w:pPr>
              <w:spacing w:beforeAutospacing="on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1395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00000">
            <w:pPr>
              <w:spacing w:beforeAutospacing="on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1146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00000">
            <w:pPr>
              <w:spacing w:beforeAutospacing="on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114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00000">
            <w:pPr>
              <w:spacing w:beforeAutospacing="on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1089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00000">
            <w:pPr>
              <w:spacing w:beforeAutospacing="on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c>
          <w:tcPr>
            <w:tcW w:type="dxa" w:w="498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00000">
            <w:pPr>
              <w:spacing w:beforeAutospacing="on"/>
              <w:ind/>
              <w:jc w:val="both"/>
            </w:pPr>
            <w:r>
              <w:t>1.1</w:t>
            </w:r>
          </w:p>
        </w:tc>
        <w:tc>
          <w:tcPr>
            <w:tcW w:type="dxa" w:w="2414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00000">
            <w:pPr>
              <w:ind/>
              <w:jc w:val="both"/>
            </w:pPr>
            <w:r>
              <w:t>Формирование специал</w:t>
            </w:r>
            <w:r>
              <w:t>и</w:t>
            </w:r>
            <w:r>
              <w:t xml:space="preserve">зированного  жилищного фонда </w:t>
            </w:r>
            <w:r>
              <w:t xml:space="preserve"> Старо-Акульшетского муниц</w:t>
            </w:r>
            <w:r>
              <w:t>и</w:t>
            </w:r>
            <w:r>
              <w:t>пального обр</w:t>
            </w:r>
            <w:r>
              <w:t>а</w:t>
            </w:r>
            <w:r>
              <w:t>зования</w:t>
            </w:r>
            <w:r>
              <w:t xml:space="preserve"> </w:t>
            </w:r>
          </w:p>
          <w:p w14:paraId="B9000000">
            <w:pPr>
              <w:spacing w:beforeAutospacing="on"/>
              <w:ind/>
              <w:jc w:val="both"/>
              <w:rPr>
                <w:color w:val="000000"/>
              </w:rPr>
            </w:pPr>
          </w:p>
        </w:tc>
        <w:tc>
          <w:tcPr>
            <w:tcW w:type="dxa" w:w="1647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00000">
            <w:pPr>
              <w:spacing w:beforeAutospacing="on"/>
              <w:ind/>
              <w:jc w:val="center"/>
            </w:pPr>
            <w:r>
              <w:t>1</w:t>
            </w:r>
            <w:r>
              <w:t>13</w:t>
            </w:r>
            <w:r>
              <w:t>00,00</w:t>
            </w:r>
          </w:p>
        </w:tc>
        <w:tc>
          <w:tcPr>
            <w:tcW w:type="dxa" w:w="1268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00000">
            <w:pPr>
              <w:spacing w:beforeAutospacing="on"/>
              <w:ind/>
              <w:jc w:val="both"/>
            </w:pPr>
          </w:p>
        </w:tc>
        <w:tc>
          <w:tcPr>
            <w:tcW w:type="dxa" w:w="2281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00000">
            <w:pPr>
              <w:widowControl w:val="0"/>
              <w:tabs>
                <w:tab w:leader="none" w:pos="567" w:val="left"/>
              </w:tabs>
              <w:ind/>
              <w:jc w:val="both"/>
            </w:pPr>
            <w:r>
              <w:t>Количество приобр</w:t>
            </w:r>
            <w:r>
              <w:t>е</w:t>
            </w:r>
            <w:r>
              <w:t>тенных квартир и з</w:t>
            </w:r>
            <w:r>
              <w:t>а</w:t>
            </w:r>
            <w:r>
              <w:t>крепление их в специ</w:t>
            </w:r>
            <w:r>
              <w:t>а</w:t>
            </w:r>
            <w:r>
              <w:t>лизированном жили</w:t>
            </w:r>
            <w:r>
              <w:t>щ</w:t>
            </w:r>
            <w:r>
              <w:t xml:space="preserve">ном фонде </w:t>
            </w:r>
            <w:r>
              <w:t>Старо-Акульшетского мун</w:t>
            </w:r>
            <w:r>
              <w:t>и</w:t>
            </w:r>
            <w:r>
              <w:t>ципального образов</w:t>
            </w:r>
            <w:r>
              <w:t>а</w:t>
            </w:r>
            <w:r>
              <w:t>ния к концу 202</w:t>
            </w:r>
            <w:r>
              <w:t>4</w:t>
            </w:r>
            <w:r>
              <w:t xml:space="preserve"> г</w:t>
            </w:r>
            <w:r>
              <w:t>.</w:t>
            </w:r>
          </w:p>
        </w:tc>
        <w:tc>
          <w:tcPr>
            <w:tcW w:type="dxa" w:w="1268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00000">
            <w:pPr>
              <w:spacing w:beforeAutospacing="on"/>
              <w:ind/>
              <w:jc w:val="center"/>
            </w:pPr>
            <w:r>
              <w:t>Шт.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00000">
            <w:pPr>
              <w:spacing w:beforeAutospacing="on"/>
              <w:ind/>
              <w:jc w:val="center"/>
            </w:pPr>
            <w:r>
              <w:t>0</w:t>
            </w:r>
          </w:p>
        </w:tc>
        <w:tc>
          <w:tcPr>
            <w:tcW w:type="dxa" w:w="1146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ind/>
              <w:jc w:val="center"/>
              <w:rPr>
                <w:rStyle w:val="Style_9_ch"/>
              </w:rPr>
            </w:pPr>
          </w:p>
          <w:p w14:paraId="C0000000">
            <w:pPr>
              <w:ind/>
              <w:jc w:val="center"/>
              <w:rPr>
                <w:rStyle w:val="Style_9_ch"/>
              </w:rPr>
            </w:pPr>
          </w:p>
          <w:p w14:paraId="C1000000">
            <w:pPr>
              <w:ind/>
              <w:jc w:val="center"/>
              <w:rPr>
                <w:rStyle w:val="Style_9_ch"/>
              </w:rPr>
            </w:pPr>
            <w:r>
              <w:rPr>
                <w:rStyle w:val="Style_9_ch"/>
              </w:rPr>
              <w:t>1</w:t>
            </w:r>
          </w:p>
          <w:p w14:paraId="C2000000">
            <w:pPr>
              <w:ind/>
              <w:jc w:val="center"/>
              <w:rPr>
                <w:rStyle w:val="Style_9_ch"/>
              </w:rPr>
            </w:pPr>
          </w:p>
          <w:p w14:paraId="C3000000">
            <w:pPr>
              <w:ind/>
              <w:jc w:val="center"/>
              <w:rPr>
                <w:rStyle w:val="Style_9_ch"/>
              </w:rPr>
            </w:pPr>
          </w:p>
          <w:p w14:paraId="C4000000">
            <w:pPr>
              <w:ind/>
              <w:jc w:val="center"/>
              <w:rPr>
                <w:rStyle w:val="Style_9_ch"/>
              </w:rPr>
            </w:pPr>
          </w:p>
          <w:p w14:paraId="C5000000">
            <w:pPr>
              <w:ind/>
              <w:jc w:val="center"/>
              <w:rPr>
                <w:rStyle w:val="Style_9_ch"/>
              </w:rPr>
            </w:pPr>
          </w:p>
          <w:p w14:paraId="C6000000">
            <w:pPr>
              <w:ind/>
              <w:jc w:val="center"/>
              <w:rPr>
                <w:rStyle w:val="Style_9_ch"/>
              </w:rPr>
            </w:pPr>
          </w:p>
        </w:tc>
        <w:tc>
          <w:tcPr>
            <w:tcW w:type="dxa" w:w="1140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ind/>
              <w:jc w:val="center"/>
              <w:rPr>
                <w:rStyle w:val="Style_9_ch"/>
              </w:rPr>
            </w:pPr>
          </w:p>
          <w:p w14:paraId="C8000000">
            <w:pPr>
              <w:ind/>
              <w:jc w:val="center"/>
              <w:rPr>
                <w:rStyle w:val="Style_9_ch"/>
              </w:rPr>
            </w:pPr>
          </w:p>
          <w:p w14:paraId="C9000000">
            <w:pPr>
              <w:ind/>
              <w:jc w:val="center"/>
              <w:rPr>
                <w:rStyle w:val="Style_9_ch"/>
              </w:rPr>
            </w:pPr>
            <w:r>
              <w:rPr>
                <w:rStyle w:val="Style_9_ch"/>
              </w:rPr>
              <w:t>2</w:t>
            </w:r>
          </w:p>
          <w:p w14:paraId="CA000000">
            <w:pPr>
              <w:ind/>
              <w:jc w:val="center"/>
              <w:rPr>
                <w:rStyle w:val="Style_9_ch"/>
              </w:rPr>
            </w:pPr>
          </w:p>
          <w:p w14:paraId="CB000000">
            <w:pPr>
              <w:ind/>
              <w:jc w:val="center"/>
              <w:rPr>
                <w:rStyle w:val="Style_9_ch"/>
              </w:rPr>
            </w:pPr>
          </w:p>
          <w:p w14:paraId="CC000000">
            <w:pPr>
              <w:ind/>
              <w:jc w:val="center"/>
              <w:rPr>
                <w:rStyle w:val="Style_9_ch"/>
              </w:rPr>
            </w:pPr>
          </w:p>
          <w:p w14:paraId="CD000000">
            <w:pPr>
              <w:ind/>
              <w:jc w:val="center"/>
              <w:rPr>
                <w:rStyle w:val="Style_9_ch"/>
              </w:rPr>
            </w:pPr>
          </w:p>
          <w:p w14:paraId="CE000000">
            <w:pPr>
              <w:ind/>
              <w:jc w:val="center"/>
              <w:rPr>
                <w:rStyle w:val="Style_9_ch"/>
              </w:rPr>
            </w:pPr>
          </w:p>
        </w:tc>
        <w:tc>
          <w:tcPr>
            <w:tcW w:type="dxa" w:w="1089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ind/>
              <w:jc w:val="center"/>
              <w:rPr>
                <w:rStyle w:val="Style_9_ch"/>
              </w:rPr>
            </w:pPr>
          </w:p>
          <w:p w14:paraId="D0000000">
            <w:pPr>
              <w:ind/>
              <w:jc w:val="center"/>
              <w:rPr>
                <w:rStyle w:val="Style_9_ch"/>
              </w:rPr>
            </w:pPr>
          </w:p>
          <w:p w14:paraId="D1000000">
            <w:pPr>
              <w:ind/>
              <w:jc w:val="center"/>
              <w:rPr>
                <w:rStyle w:val="Style_9_ch"/>
              </w:rPr>
            </w:pPr>
            <w:r>
              <w:rPr>
                <w:rStyle w:val="Style_9_ch"/>
              </w:rPr>
              <w:t>2</w:t>
            </w:r>
          </w:p>
          <w:p w14:paraId="D2000000">
            <w:pPr>
              <w:ind/>
              <w:jc w:val="center"/>
              <w:rPr>
                <w:rStyle w:val="Style_9_ch"/>
              </w:rPr>
            </w:pPr>
          </w:p>
          <w:p w14:paraId="D3000000">
            <w:pPr>
              <w:ind/>
              <w:jc w:val="center"/>
              <w:rPr>
                <w:rStyle w:val="Style_9_ch"/>
              </w:rPr>
            </w:pPr>
          </w:p>
          <w:p w14:paraId="D4000000">
            <w:pPr>
              <w:ind/>
              <w:jc w:val="center"/>
              <w:rPr>
                <w:rStyle w:val="Style_9_ch"/>
              </w:rPr>
            </w:pPr>
          </w:p>
          <w:p w14:paraId="D5000000">
            <w:pPr>
              <w:ind/>
              <w:jc w:val="center"/>
              <w:rPr>
                <w:rStyle w:val="Style_9_ch"/>
              </w:rPr>
            </w:pPr>
          </w:p>
          <w:p w14:paraId="D6000000">
            <w:pPr>
              <w:ind/>
              <w:jc w:val="center"/>
              <w:rPr>
                <w:rStyle w:val="Style_9_ch"/>
              </w:rPr>
            </w:pPr>
          </w:p>
        </w:tc>
      </w:tr>
      <w:tr>
        <w:tc>
          <w:tcPr>
            <w:tcW w:type="dxa" w:w="498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00000">
            <w:pPr>
              <w:spacing w:beforeAutospacing="on"/>
              <w:ind/>
              <w:jc w:val="center"/>
            </w:pPr>
            <w:r>
              <w:t>1.2</w:t>
            </w:r>
          </w:p>
        </w:tc>
        <w:tc>
          <w:tcPr>
            <w:tcW w:type="dxa" w:w="2414"/>
            <w:tcBorders>
              <w:top w:color="000000" w:sz="4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00000">
            <w:pPr>
              <w:spacing w:beforeAutospacing="on"/>
              <w:ind/>
              <w:jc w:val="both"/>
              <w:rPr>
                <w:color w:val="000000"/>
              </w:rPr>
            </w:pPr>
            <w:r>
              <w:t>Обеспечение служебн</w:t>
            </w:r>
            <w:r>
              <w:t>ы</w:t>
            </w:r>
            <w:r>
              <w:t>ми жилыми помещени</w:t>
            </w:r>
            <w:r>
              <w:t>я</w:t>
            </w:r>
            <w:r>
              <w:t>ми специалистов, в раб</w:t>
            </w:r>
            <w:r>
              <w:t>о</w:t>
            </w:r>
            <w:r>
              <w:t>те которых имеется нео</w:t>
            </w:r>
            <w:r>
              <w:t>б</w:t>
            </w:r>
            <w:r>
              <w:t>ходимость на террит</w:t>
            </w:r>
            <w:r>
              <w:t>о</w:t>
            </w:r>
            <w:r>
              <w:t xml:space="preserve">рии </w:t>
            </w:r>
            <w:r>
              <w:t xml:space="preserve"> Старо-Акульшетского муниципального образ</w:t>
            </w:r>
            <w:r>
              <w:t>о</w:t>
            </w:r>
            <w:r>
              <w:t>вания</w:t>
            </w:r>
          </w:p>
        </w:tc>
        <w:tc>
          <w:tcPr>
            <w:tcW w:type="dxa" w:w="1647"/>
            <w:tcBorders>
              <w:top w:color="000000" w:sz="4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00000">
            <w:pPr>
              <w:spacing w:beforeAutospacing="on"/>
              <w:ind/>
              <w:jc w:val="center"/>
            </w:pPr>
            <w:r>
              <w:t>1</w:t>
            </w:r>
            <w:r>
              <w:t>130</w:t>
            </w:r>
            <w:r>
              <w:t>0,00</w:t>
            </w:r>
          </w:p>
        </w:tc>
        <w:tc>
          <w:tcPr>
            <w:tcW w:type="dxa" w:w="1268"/>
            <w:tcBorders>
              <w:top w:color="000000" w:sz="4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00000">
            <w:pPr>
              <w:spacing w:beforeAutospacing="on"/>
              <w:ind/>
              <w:jc w:val="center"/>
            </w:pPr>
          </w:p>
        </w:tc>
        <w:tc>
          <w:tcPr>
            <w:tcW w:type="dxa" w:w="2281"/>
            <w:tcBorders>
              <w:top w:color="000000" w:sz="4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00000">
            <w:pPr>
              <w:ind/>
              <w:contextualSpacing w:val="1"/>
              <w:jc w:val="both"/>
            </w:pPr>
            <w:r>
              <w:t>Количество составле</w:t>
            </w:r>
            <w:r>
              <w:t>н</w:t>
            </w:r>
            <w:r>
              <w:t>ных  договоров найма служе</w:t>
            </w:r>
            <w:r>
              <w:t>б</w:t>
            </w:r>
            <w:r>
              <w:t>ного жилого помещ</w:t>
            </w:r>
            <w:r>
              <w:t>е</w:t>
            </w:r>
            <w:r>
              <w:t>ния  к концу 202</w:t>
            </w:r>
            <w:r>
              <w:t>4</w:t>
            </w:r>
            <w:r>
              <w:t xml:space="preserve"> г.</w:t>
            </w:r>
          </w:p>
        </w:tc>
        <w:tc>
          <w:tcPr>
            <w:tcW w:type="dxa" w:w="1268"/>
            <w:tcBorders>
              <w:top w:color="000000" w:sz="4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00000">
            <w:pPr>
              <w:spacing w:beforeAutospacing="on"/>
              <w:ind/>
              <w:jc w:val="center"/>
            </w:pPr>
            <w:r>
              <w:t>Шт.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00000">
            <w:pPr>
              <w:spacing w:beforeAutospacing="on"/>
              <w:ind/>
              <w:jc w:val="center"/>
            </w:pPr>
            <w:r>
              <w:t>0</w:t>
            </w:r>
          </w:p>
        </w:tc>
        <w:tc>
          <w:tcPr>
            <w:tcW w:type="dxa" w:w="1146"/>
            <w:tcBorders>
              <w:top w:color="000000" w:sz="4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00000">
            <w:pPr>
              <w:ind/>
              <w:contextualSpacing w:val="1"/>
              <w:jc w:val="center"/>
            </w:pPr>
            <w:r>
              <w:t>1</w:t>
            </w:r>
          </w:p>
        </w:tc>
        <w:tc>
          <w:tcPr>
            <w:tcW w:type="dxa" w:w="1140"/>
            <w:tcBorders>
              <w:top w:color="000000" w:sz="4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00000">
            <w:pPr>
              <w:ind w:firstLine="250" w:left="-250"/>
              <w:contextualSpacing w:val="1"/>
              <w:jc w:val="center"/>
            </w:pPr>
            <w:r>
              <w:t>2</w:t>
            </w:r>
          </w:p>
        </w:tc>
        <w:tc>
          <w:tcPr>
            <w:tcW w:type="dxa" w:w="1089"/>
            <w:tcBorders>
              <w:top w:color="000000" w:sz="4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00000">
            <w:pPr>
              <w:ind/>
              <w:contextualSpacing w:val="1"/>
              <w:jc w:val="center"/>
            </w:pPr>
            <w:r>
              <w:t>2</w:t>
            </w:r>
          </w:p>
        </w:tc>
      </w:tr>
    </w:tbl>
    <w:p w14:paraId="E1000000">
      <w:pPr>
        <w:rPr>
          <w:spacing w:val="-10"/>
          <w:sz w:val="22"/>
        </w:rPr>
      </w:pPr>
    </w:p>
    <w:p w14:paraId="E2000000">
      <w:pPr>
        <w:ind w:firstLine="709" w:left="0"/>
        <w:jc w:val="right"/>
        <w:rPr>
          <w:spacing w:val="-10"/>
          <w:sz w:val="16"/>
        </w:rPr>
      </w:pPr>
    </w:p>
    <w:p w14:paraId="E3000000">
      <w:pPr>
        <w:ind w:firstLine="709" w:left="0"/>
        <w:jc w:val="right"/>
        <w:rPr>
          <w:spacing w:val="-10"/>
          <w:sz w:val="16"/>
        </w:rPr>
      </w:pPr>
    </w:p>
    <w:p w14:paraId="E4000000">
      <w:pPr>
        <w:ind w:firstLine="709" w:left="0"/>
        <w:jc w:val="right"/>
        <w:rPr>
          <w:spacing w:val="-10"/>
          <w:sz w:val="16"/>
        </w:rPr>
      </w:pPr>
      <w:r>
        <w:rPr>
          <w:spacing w:val="-10"/>
          <w:sz w:val="16"/>
        </w:rPr>
        <w:t xml:space="preserve">Приложение </w:t>
      </w:r>
      <w:r>
        <w:rPr>
          <w:spacing w:val="-10"/>
          <w:sz w:val="16"/>
        </w:rPr>
        <w:t>5</w:t>
      </w:r>
    </w:p>
    <w:p w14:paraId="E5000000">
      <w:pPr>
        <w:ind/>
        <w:jc w:val="right"/>
        <w:rPr>
          <w:sz w:val="16"/>
        </w:rPr>
      </w:pPr>
      <w:r>
        <w:rPr>
          <w:sz w:val="16"/>
        </w:rPr>
        <w:t xml:space="preserve">к муниципальной программе Старо-Акульшетского муниципального образования </w:t>
      </w:r>
    </w:p>
    <w:p w14:paraId="E6000000">
      <w:pPr>
        <w:ind/>
        <w:jc w:val="right"/>
        <w:rPr>
          <w:sz w:val="16"/>
        </w:rPr>
      </w:pPr>
      <w:r>
        <w:rPr>
          <w:sz w:val="16"/>
        </w:rPr>
        <w:t>"</w:t>
      </w:r>
      <w:r>
        <w:rPr>
          <w:b w:val="1"/>
        </w:rPr>
        <w:t xml:space="preserve"> </w:t>
      </w:r>
      <w:r>
        <w:rPr>
          <w:sz w:val="16"/>
        </w:rPr>
        <w:t>Приобретение жилых помещений (служебного жилья) для работников государственных и муниципальных учреж</w:t>
      </w:r>
      <w:r>
        <w:rPr>
          <w:sz w:val="16"/>
        </w:rPr>
        <w:t>дений,</w:t>
      </w:r>
    </w:p>
    <w:p w14:paraId="E7000000">
      <w:pPr>
        <w:ind/>
        <w:jc w:val="right"/>
        <w:rPr>
          <w:sz w:val="16"/>
        </w:rPr>
      </w:pPr>
      <w:r>
        <w:rPr>
          <w:sz w:val="16"/>
        </w:rPr>
        <w:t>расположенных на территории Старо-Акульшетского муниципального образования</w:t>
      </w:r>
      <w:r>
        <w:rPr>
          <w:sz w:val="16"/>
        </w:rPr>
        <w:t xml:space="preserve"> "на 2022-2024 г</w:t>
      </w:r>
      <w:r>
        <w:rPr>
          <w:sz w:val="16"/>
        </w:rPr>
        <w:t>о</w:t>
      </w:r>
      <w:r>
        <w:rPr>
          <w:sz w:val="16"/>
        </w:rPr>
        <w:t>ды</w:t>
      </w:r>
    </w:p>
    <w:p w14:paraId="E8000000">
      <w:pPr>
        <w:widowControl w:val="0"/>
        <w:ind/>
        <w:jc w:val="right"/>
        <w:outlineLvl w:val="2"/>
      </w:pPr>
    </w:p>
    <w:p w14:paraId="E9000000">
      <w:pPr>
        <w:widowControl w:val="0"/>
        <w:ind/>
        <w:jc w:val="center"/>
        <w:rPr>
          <w:b w:val="1"/>
        </w:rPr>
      </w:pPr>
      <w:r>
        <w:rPr>
          <w:b w:val="1"/>
        </w:rPr>
        <w:t xml:space="preserve">СИСТЕМА МЕРОПРИЯТИЙ </w:t>
      </w:r>
      <w:r>
        <w:rPr>
          <w:b w:val="1"/>
        </w:rPr>
        <w:t xml:space="preserve">ПРОГРАММЫ </w:t>
      </w:r>
    </w:p>
    <w:p w14:paraId="EA000000">
      <w:pPr>
        <w:ind/>
        <w:jc w:val="center"/>
        <w:rPr>
          <w:b w:val="1"/>
          <w:sz w:val="22"/>
        </w:rPr>
      </w:pPr>
      <w:r>
        <w:rPr>
          <w:b w:val="1"/>
        </w:rPr>
        <w:t>Программы</w:t>
      </w:r>
      <w:r>
        <w:t xml:space="preserve">  </w:t>
      </w:r>
      <w:r>
        <w:rPr>
          <w:b w:val="1"/>
        </w:rPr>
        <w:t>"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Приобретение жилых помещений (служебного жилья) для работников государственных и муниципальных учреждений, расп</w:t>
      </w:r>
      <w:r>
        <w:rPr>
          <w:b w:val="1"/>
          <w:sz w:val="22"/>
        </w:rPr>
        <w:t>о</w:t>
      </w:r>
      <w:r>
        <w:rPr>
          <w:b w:val="1"/>
          <w:sz w:val="22"/>
        </w:rPr>
        <w:t>ложенных на территории Старо-Акульшетского муниципального образования</w:t>
      </w:r>
      <w:r>
        <w:rPr>
          <w:b w:val="1"/>
          <w:sz w:val="22"/>
        </w:rPr>
        <w:t xml:space="preserve"> "на 202</w:t>
      </w:r>
      <w:r>
        <w:rPr>
          <w:b w:val="1"/>
          <w:sz w:val="22"/>
        </w:rPr>
        <w:t>2</w:t>
      </w:r>
      <w:r>
        <w:rPr>
          <w:b w:val="1"/>
          <w:sz w:val="22"/>
        </w:rPr>
        <w:t>-202</w:t>
      </w:r>
      <w:r>
        <w:rPr>
          <w:b w:val="1"/>
          <w:sz w:val="22"/>
        </w:rPr>
        <w:t>4</w:t>
      </w:r>
      <w:r>
        <w:rPr>
          <w:b w:val="1"/>
          <w:sz w:val="22"/>
        </w:rPr>
        <w:t xml:space="preserve"> г</w:t>
      </w:r>
      <w:r>
        <w:rPr>
          <w:b w:val="1"/>
          <w:sz w:val="22"/>
        </w:rPr>
        <w:t>о</w:t>
      </w:r>
      <w:r>
        <w:rPr>
          <w:b w:val="1"/>
          <w:sz w:val="22"/>
        </w:rPr>
        <w:t>ды</w:t>
      </w:r>
    </w:p>
    <w:p w14:paraId="EB000000">
      <w:pPr>
        <w:ind/>
        <w:jc w:val="center"/>
        <w:rPr>
          <w:b w:val="1"/>
        </w:rPr>
      </w:pPr>
    </w:p>
    <w:tbl>
      <w:tblPr>
        <w:tblStyle w:val="Style_8"/>
        <w:tblInd w:type="dxa" w:w="25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58"/>
        <w:gridCol w:w="3452"/>
        <w:gridCol w:w="6"/>
        <w:gridCol w:w="1692"/>
        <w:gridCol w:w="12"/>
        <w:gridCol w:w="1313"/>
        <w:gridCol w:w="1368"/>
        <w:gridCol w:w="1737"/>
        <w:gridCol w:w="752"/>
        <w:gridCol w:w="1005"/>
        <w:gridCol w:w="1005"/>
        <w:gridCol w:w="977"/>
      </w:tblGrid>
      <w:tr>
        <w:trPr>
          <w:trHeight w:hRule="atLeast" w:val="479"/>
        </w:trPr>
        <w:tc>
          <w:tcPr>
            <w:tcW w:type="dxa" w:w="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 xml:space="preserve"> п/п</w:t>
            </w:r>
          </w:p>
        </w:tc>
        <w:tc>
          <w:tcPr>
            <w:tcW w:type="dxa" w:w="3458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цели, задачи, мероприятия</w:t>
            </w:r>
          </w:p>
        </w:tc>
        <w:tc>
          <w:tcPr>
            <w:tcW w:type="dxa" w:w="170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Ответственный за реализацию </w:t>
            </w:r>
          </w:p>
          <w:p w14:paraId="EF00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мероприятия </w:t>
            </w:r>
          </w:p>
        </w:tc>
        <w:tc>
          <w:tcPr>
            <w:tcW w:type="dxa" w:w="26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Срок реализации </w:t>
            </w:r>
          </w:p>
          <w:p w14:paraId="F100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</w:t>
            </w:r>
          </w:p>
        </w:tc>
        <w:tc>
          <w:tcPr>
            <w:tcW w:type="dxa" w:w="17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Источник </w:t>
            </w:r>
          </w:p>
          <w:p w14:paraId="F300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финансирования *</w:t>
            </w:r>
          </w:p>
        </w:tc>
        <w:tc>
          <w:tcPr>
            <w:tcW w:type="dxa" w:w="7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type="dxa" w:w="29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Расходы на мероприятие </w:t>
            </w:r>
          </w:p>
        </w:tc>
      </w:tr>
      <w:tr>
        <w:tc>
          <w:tcPr>
            <w:tcW w:type="dxa" w:w="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5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 (дата, 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сяц,, год)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по (дата. ,месяц,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>год)</w:t>
            </w:r>
          </w:p>
        </w:tc>
        <w:tc>
          <w:tcPr>
            <w:tcW w:type="dxa" w:w="17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2022 </w:t>
            </w:r>
            <w:r>
              <w:rPr>
                <w:sz w:val="18"/>
              </w:rPr>
              <w:t xml:space="preserve">год 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z w:val="18"/>
              </w:rPr>
              <w:t xml:space="preserve"> год 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z w:val="18"/>
              </w:rPr>
              <w:t xml:space="preserve"> год </w:t>
            </w:r>
          </w:p>
        </w:tc>
      </w:tr>
      <w:tr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34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17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type="dxa" w:w="13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type="dxa" w:w="1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10000">
            <w:pPr>
              <w:ind/>
              <w:contextualSpacing w:val="1"/>
              <w:jc w:val="center"/>
              <w:rPr>
                <w:b w:val="1"/>
              </w:rPr>
            </w:pPr>
          </w:p>
        </w:tc>
        <w:tc>
          <w:tcPr>
            <w:tcW w:type="dxa" w:w="13319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ind/>
              <w:contextualSpacing w:val="1"/>
              <w:rPr>
                <w:b w:val="1"/>
              </w:rPr>
            </w:pPr>
            <w:r>
              <w:rPr>
                <w:b w:val="1"/>
              </w:rPr>
              <w:t xml:space="preserve">Цель: </w:t>
            </w:r>
            <w:r>
              <w:rPr>
                <w:b w:val="1"/>
              </w:rPr>
              <w:t>Повышение уровня обеспеченности жилыми помещениями специалистов, в работе которых имеется острая потребность на террит</w:t>
            </w:r>
            <w:r>
              <w:rPr>
                <w:b w:val="1"/>
              </w:rPr>
              <w:t>о</w:t>
            </w:r>
            <w:r>
              <w:rPr>
                <w:b w:val="1"/>
              </w:rPr>
              <w:t xml:space="preserve">рии </w:t>
            </w:r>
            <w:r>
              <w:rPr>
                <w:b w:val="1"/>
              </w:rPr>
              <w:t>Старо-Акульшетского муниципального образования</w:t>
            </w:r>
          </w:p>
        </w:tc>
      </w:tr>
      <w:tr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10000">
            <w:pPr>
              <w:ind/>
              <w:contextualSpacing w:val="1"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13319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/>
              <w:contextualSpacing w:val="1"/>
              <w:rPr>
                <w:b w:val="1"/>
              </w:rPr>
            </w:pPr>
            <w:r>
              <w:rPr>
                <w:b w:val="1"/>
              </w:rPr>
              <w:t xml:space="preserve">Задача 1: </w:t>
            </w:r>
            <w:r>
              <w:rPr>
                <w:b w:val="1"/>
              </w:rPr>
              <w:t xml:space="preserve">Формирование специализированного  жилищного фонда </w:t>
            </w:r>
            <w:r>
              <w:rPr>
                <w:b w:val="1"/>
              </w:rPr>
              <w:t>Старо-Акульшетского муниципального образования</w:t>
            </w:r>
            <w:r>
              <w:rPr>
                <w:b w:val="1"/>
              </w:rPr>
              <w:t xml:space="preserve"> </w:t>
            </w:r>
          </w:p>
        </w:tc>
      </w:tr>
      <w:tr>
        <w:tc>
          <w:tcPr>
            <w:tcW w:type="dxa" w:w="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/>
              <w:contextualSpacing w:val="1"/>
              <w:jc w:val="center"/>
            </w:pPr>
            <w:r>
              <w:t>1.1</w:t>
            </w:r>
          </w:p>
        </w:tc>
        <w:tc>
          <w:tcPr>
            <w:tcW w:type="dxa" w:w="3458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contextualSpacing w:val="1"/>
              <w:jc w:val="both"/>
            </w:pPr>
            <w:r>
              <w:t>Основное мероприятие "Приобрет</w:t>
            </w:r>
            <w:r>
              <w:t>е</w:t>
            </w:r>
            <w:r>
              <w:t>ние жилых помещений для специал</w:t>
            </w:r>
            <w:r>
              <w:t>и</w:t>
            </w:r>
            <w:r>
              <w:t xml:space="preserve">стов, в работе которых имеется </w:t>
            </w:r>
            <w:r>
              <w:t>нео</w:t>
            </w:r>
            <w:r>
              <w:t>б</w:t>
            </w:r>
            <w:r>
              <w:t>ходимость</w:t>
            </w:r>
            <w:r>
              <w:t xml:space="preserve"> на террит</w:t>
            </w:r>
            <w:r>
              <w:t>о</w:t>
            </w:r>
            <w:r>
              <w:t xml:space="preserve">рии </w:t>
            </w:r>
            <w:r>
              <w:t>Старо-Акульшетского муниципального о</w:t>
            </w:r>
            <w:r>
              <w:t>б</w:t>
            </w:r>
            <w:r>
              <w:t>разов</w:t>
            </w:r>
            <w:r>
              <w:t>а</w:t>
            </w:r>
            <w:r>
              <w:t>ния</w:t>
            </w:r>
            <w:r>
              <w:t>"</w:t>
            </w:r>
          </w:p>
        </w:tc>
        <w:tc>
          <w:tcPr>
            <w:tcW w:type="dxa" w:w="170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/>
              <w:contextualSpacing w:val="1"/>
              <w:jc w:val="center"/>
            </w:pPr>
            <w:r>
              <w:t>Администрация Ст</w:t>
            </w:r>
            <w:r>
              <w:t>а</w:t>
            </w:r>
            <w:r>
              <w:t>ро-Акульшетского муниц</w:t>
            </w:r>
            <w:r>
              <w:t>и</w:t>
            </w:r>
            <w:r>
              <w:t>пального образов</w:t>
            </w:r>
            <w:r>
              <w:t>а</w:t>
            </w:r>
            <w:r>
              <w:t>ния</w:t>
            </w:r>
          </w:p>
        </w:tc>
        <w:tc>
          <w:tcPr>
            <w:tcW w:type="dxa" w:w="13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 w:firstLine="0" w:left="-36" w:right="-108"/>
              <w:contextualSpacing w:val="1"/>
              <w:jc w:val="center"/>
            </w:pPr>
            <w:r>
              <w:t>январь</w:t>
            </w:r>
          </w:p>
          <w:p w14:paraId="0D010000">
            <w:pPr>
              <w:ind w:firstLine="0" w:left="-36" w:right="-108"/>
              <w:contextualSpacing w:val="1"/>
              <w:jc w:val="center"/>
            </w:pPr>
            <w:r>
              <w:t xml:space="preserve"> 202</w:t>
            </w:r>
            <w:r>
              <w:t>2</w:t>
            </w:r>
            <w:r>
              <w:t xml:space="preserve"> год </w:t>
            </w:r>
          </w:p>
        </w:tc>
        <w:tc>
          <w:tcPr>
            <w:tcW w:type="dxa" w:w="13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/>
              <w:contextualSpacing w:val="1"/>
              <w:jc w:val="center"/>
            </w:pPr>
            <w:r>
              <w:t xml:space="preserve">декабрь </w:t>
            </w:r>
          </w:p>
          <w:p w14:paraId="0F010000">
            <w:pPr>
              <w:ind/>
              <w:contextualSpacing w:val="1"/>
              <w:jc w:val="center"/>
            </w:pPr>
            <w:r>
              <w:t>202</w:t>
            </w:r>
            <w:r>
              <w:t>4</w:t>
            </w:r>
            <w:r>
              <w:t xml:space="preserve"> год </w:t>
            </w:r>
          </w:p>
        </w:tc>
        <w:tc>
          <w:tcPr>
            <w:tcW w:type="dxa" w:w="1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z w:val="18"/>
              </w:rPr>
              <w:t xml:space="preserve"> бюджет</w:t>
            </w:r>
          </w:p>
          <w:p w14:paraId="11010000">
            <w:pPr>
              <w:widowControl w:val="0"/>
              <w:ind/>
              <w:rPr>
                <w:sz w:val="18"/>
              </w:rPr>
            </w:pPr>
          </w:p>
        </w:tc>
        <w:tc>
          <w:tcPr>
            <w:tcW w:type="dxa" w:w="7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1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тыс. руб.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2800 000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/>
              <w:jc w:val="center"/>
            </w:pPr>
            <w:r>
              <w:t>4000,00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jc w:val="center"/>
            </w:pPr>
            <w:r>
              <w:t>4500,00</w:t>
            </w:r>
          </w:p>
        </w:tc>
      </w:tr>
      <w:tr>
        <w:tc>
          <w:tcPr>
            <w:tcW w:type="dxa" w:w="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5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Областной бюджет</w:t>
            </w:r>
          </w:p>
          <w:p w14:paraId="17010000">
            <w:pPr>
              <w:widowControl w:val="0"/>
              <w:ind/>
              <w:rPr>
                <w:sz w:val="18"/>
              </w:rPr>
            </w:pPr>
          </w:p>
        </w:tc>
        <w:tc>
          <w:tcPr>
            <w:tcW w:type="dxa" w:w="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ind/>
              <w:jc w:val="center"/>
            </w:pPr>
            <w:r>
              <w:t>0,00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/>
              <w:jc w:val="center"/>
            </w:pPr>
            <w:r>
              <w:t>0,00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/>
              <w:jc w:val="center"/>
            </w:pPr>
            <w:r>
              <w:t>0,00</w:t>
            </w:r>
          </w:p>
        </w:tc>
      </w:tr>
      <w:tr>
        <w:tc>
          <w:tcPr>
            <w:tcW w:type="dxa" w:w="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5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Федеральный бю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жет</w:t>
            </w:r>
          </w:p>
        </w:tc>
        <w:tc>
          <w:tcPr>
            <w:tcW w:type="dxa" w:w="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/>
              <w:jc w:val="center"/>
            </w:pPr>
            <w:r>
              <w:t>0,00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/>
              <w:jc w:val="center"/>
            </w:pPr>
            <w:r>
              <w:t>0,00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ind/>
              <w:jc w:val="center"/>
            </w:pPr>
            <w:r>
              <w:t>0,00</w:t>
            </w:r>
          </w:p>
        </w:tc>
      </w:tr>
      <w:tr>
        <w:trPr>
          <w:trHeight w:hRule="atLeast" w:val="165"/>
        </w:trPr>
        <w:tc>
          <w:tcPr>
            <w:tcW w:type="dxa" w:w="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10000">
            <w:pPr>
              <w:widowControl w:val="0"/>
              <w:ind/>
              <w:jc w:val="center"/>
              <w:rPr>
                <w:sz w:val="22"/>
              </w:rPr>
            </w:pPr>
          </w:p>
          <w:p w14:paraId="20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7843"/>
            <w:gridSpan w:val="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ИТОГО объем финансирования по задаче 1:</w:t>
            </w:r>
          </w:p>
        </w:tc>
        <w:tc>
          <w:tcPr>
            <w:tcW w:type="dxa" w:w="1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z w:val="18"/>
              </w:rPr>
              <w:t xml:space="preserve"> бюджет</w:t>
            </w:r>
          </w:p>
          <w:p w14:paraId="23010000">
            <w:pPr>
              <w:widowControl w:val="0"/>
              <w:ind/>
              <w:rPr>
                <w:sz w:val="18"/>
              </w:rPr>
            </w:pPr>
          </w:p>
        </w:tc>
        <w:tc>
          <w:tcPr>
            <w:tcW w:type="dxa" w:w="7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1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тыс. руб</w:t>
            </w:r>
            <w:r>
              <w:rPr>
                <w:sz w:val="18"/>
              </w:rPr>
              <w:t>.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2800 000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ind/>
              <w:jc w:val="center"/>
              <w:rPr>
                <w:sz w:val="18"/>
              </w:rPr>
            </w:pPr>
            <w:r>
              <w:t>4000,00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ind/>
              <w:jc w:val="center"/>
              <w:rPr>
                <w:sz w:val="18"/>
              </w:rPr>
            </w:pPr>
            <w:r>
              <w:t>4500,00</w:t>
            </w:r>
          </w:p>
        </w:tc>
      </w:tr>
      <w:tr>
        <w:trPr>
          <w:trHeight w:hRule="atLeast" w:val="195"/>
        </w:trPr>
        <w:tc>
          <w:tcPr>
            <w:tcW w:type="dxa" w:w="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843"/>
            <w:gridSpan w:val="6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Областной бюджет</w:t>
            </w:r>
          </w:p>
          <w:p w14:paraId="29010000">
            <w:pPr>
              <w:widowControl w:val="0"/>
              <w:ind/>
              <w:rPr>
                <w:sz w:val="18"/>
              </w:rPr>
            </w:pPr>
          </w:p>
        </w:tc>
        <w:tc>
          <w:tcPr>
            <w:tcW w:type="dxa" w:w="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/>
              <w:jc w:val="center"/>
            </w:pPr>
            <w:r>
              <w:t>0,00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/>
              <w:jc w:val="center"/>
            </w:pPr>
            <w:r>
              <w:t>0,00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/>
              <w:jc w:val="center"/>
            </w:pPr>
            <w:r>
              <w:t>0,00</w:t>
            </w:r>
          </w:p>
        </w:tc>
      </w:tr>
      <w:tr>
        <w:trPr>
          <w:trHeight w:hRule="atLeast" w:val="120"/>
        </w:trPr>
        <w:tc>
          <w:tcPr>
            <w:tcW w:type="dxa" w:w="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843"/>
            <w:gridSpan w:val="6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Федеральный бю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жет</w:t>
            </w:r>
          </w:p>
        </w:tc>
        <w:tc>
          <w:tcPr>
            <w:tcW w:type="dxa" w:w="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/>
              <w:jc w:val="center"/>
            </w:pPr>
            <w:r>
              <w:t>0,00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ind/>
              <w:jc w:val="center"/>
            </w:pPr>
            <w:r>
              <w:t>0,00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ind/>
              <w:jc w:val="center"/>
            </w:pPr>
            <w:r>
              <w:t>0,00</w:t>
            </w:r>
          </w:p>
        </w:tc>
      </w:tr>
      <w:tr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10000">
            <w:pPr>
              <w:widowControl w:val="0"/>
              <w:ind/>
              <w:jc w:val="center"/>
              <w:rPr>
                <w:sz w:val="22"/>
              </w:rPr>
            </w:pPr>
          </w:p>
          <w:p w14:paraId="32010000">
            <w:pPr>
              <w:widowControl w:val="0"/>
              <w:ind/>
              <w:rPr>
                <w:sz w:val="18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3319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10000">
            <w:pPr>
              <w:widowControl w:val="0"/>
              <w:ind/>
              <w:rPr>
                <w:sz w:val="22"/>
              </w:rPr>
            </w:pPr>
            <w:r>
              <w:rPr>
                <w:b w:val="1"/>
              </w:rPr>
              <w:t xml:space="preserve">Задача 2: </w:t>
            </w:r>
            <w:r>
              <w:rPr>
                <w:b w:val="1"/>
              </w:rPr>
              <w:t xml:space="preserve">Обеспечение служебными жилыми помещениями специалистов, в работе которых имеется острая необходимость на территории </w:t>
            </w:r>
            <w:r>
              <w:rPr>
                <w:b w:val="1"/>
              </w:rPr>
              <w:t>Старо-Акульшетского муниципального обр</w:t>
            </w:r>
            <w:r>
              <w:rPr>
                <w:b w:val="1"/>
              </w:rPr>
              <w:t>а</w:t>
            </w:r>
            <w:r>
              <w:rPr>
                <w:b w:val="1"/>
              </w:rPr>
              <w:t>зования</w:t>
            </w:r>
          </w:p>
        </w:tc>
      </w:tr>
      <w:tr>
        <w:trPr>
          <w:trHeight w:hRule="atLeast" w:val="580"/>
        </w:trPr>
        <w:tc>
          <w:tcPr>
            <w:tcW w:type="dxa" w:w="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</w:p>
          <w:p w14:paraId="35010000">
            <w:pPr>
              <w:widowControl w:val="0"/>
              <w:ind/>
              <w:jc w:val="center"/>
              <w:rPr>
                <w:sz w:val="22"/>
              </w:rPr>
            </w:pPr>
          </w:p>
          <w:p w14:paraId="36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34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/>
              <w:contextualSpacing w:val="1"/>
              <w:jc w:val="both"/>
            </w:pPr>
            <w:r>
              <w:t>Основное мероприятие "Ежегодное уточнение п</w:t>
            </w:r>
            <w:r>
              <w:t>е</w:t>
            </w:r>
            <w:r>
              <w:t xml:space="preserve">речня специалистов, в работе которых имеется </w:t>
            </w:r>
            <w:r>
              <w:t>необход</w:t>
            </w:r>
            <w:r>
              <w:t>и</w:t>
            </w:r>
            <w:r>
              <w:t>мость</w:t>
            </w:r>
            <w:r>
              <w:t xml:space="preserve"> на территории </w:t>
            </w:r>
            <w:r>
              <w:t>Ст</w:t>
            </w:r>
            <w:r>
              <w:t>а</w:t>
            </w:r>
            <w:r>
              <w:t>ро</w:t>
            </w:r>
            <w:r>
              <w:t>-</w:t>
            </w:r>
            <w:r>
              <w:t>Акульшетского муниципального о</w:t>
            </w:r>
            <w:r>
              <w:t>б</w:t>
            </w:r>
            <w:r>
              <w:t>разов</w:t>
            </w:r>
            <w:r>
              <w:t>а</w:t>
            </w:r>
            <w:r>
              <w:t>ния</w:t>
            </w:r>
          </w:p>
        </w:tc>
        <w:tc>
          <w:tcPr>
            <w:tcW w:type="dxa" w:w="1698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/>
              <w:contextualSpacing w:val="1"/>
              <w:jc w:val="center"/>
            </w:pPr>
            <w:r>
              <w:t>Администрация Ст</w:t>
            </w:r>
            <w:r>
              <w:t>а</w:t>
            </w:r>
            <w:r>
              <w:t>ро-Акульшетского муниц</w:t>
            </w:r>
            <w:r>
              <w:t>и</w:t>
            </w:r>
            <w:r>
              <w:t>пального образов</w:t>
            </w:r>
            <w:r>
              <w:t>а</w:t>
            </w:r>
            <w:r>
              <w:t>ния</w:t>
            </w:r>
          </w:p>
        </w:tc>
        <w:tc>
          <w:tcPr>
            <w:tcW w:type="dxa" w:w="132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 w:firstLine="0" w:left="-36" w:right="-108"/>
              <w:contextualSpacing w:val="1"/>
              <w:jc w:val="center"/>
            </w:pPr>
            <w:r>
              <w:t>январь</w:t>
            </w:r>
          </w:p>
          <w:p w14:paraId="3A010000">
            <w:pPr>
              <w:ind w:firstLine="0" w:left="-36" w:right="-108"/>
              <w:contextualSpacing w:val="1"/>
              <w:jc w:val="center"/>
            </w:pPr>
            <w:r>
              <w:t xml:space="preserve"> 202</w:t>
            </w:r>
            <w:r>
              <w:t>2</w:t>
            </w:r>
            <w:r>
              <w:t xml:space="preserve"> год </w:t>
            </w:r>
          </w:p>
        </w:tc>
        <w:tc>
          <w:tcPr>
            <w:tcW w:type="dxa" w:w="13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contextualSpacing w:val="1"/>
              <w:jc w:val="center"/>
            </w:pPr>
            <w:r>
              <w:t xml:space="preserve">декабрь </w:t>
            </w:r>
          </w:p>
          <w:p w14:paraId="3C010000">
            <w:pPr>
              <w:ind/>
              <w:contextualSpacing w:val="1"/>
              <w:jc w:val="center"/>
            </w:pPr>
            <w:r>
              <w:t>202</w:t>
            </w:r>
            <w:r>
              <w:t>4</w:t>
            </w:r>
            <w:r>
              <w:t xml:space="preserve"> год </w:t>
            </w:r>
          </w:p>
        </w:tc>
        <w:tc>
          <w:tcPr>
            <w:tcW w:type="dxa" w:w="1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z w:val="18"/>
              </w:rPr>
              <w:t xml:space="preserve"> бюджет</w:t>
            </w:r>
          </w:p>
          <w:p w14:paraId="3E010000">
            <w:pPr>
              <w:widowControl w:val="0"/>
              <w:ind/>
              <w:rPr>
                <w:sz w:val="18"/>
              </w:rPr>
            </w:pPr>
          </w:p>
        </w:tc>
        <w:tc>
          <w:tcPr>
            <w:tcW w:type="dxa" w:w="7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18"/>
              </w:rPr>
              <w:t>тыс. руб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ind/>
              <w:jc w:val="center"/>
            </w:pPr>
            <w:r>
              <w:t>0,00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/>
              <w:jc w:val="center"/>
            </w:pPr>
            <w:r>
              <w:t>0,00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ind/>
              <w:jc w:val="center"/>
            </w:pPr>
            <w:r>
              <w:t>0,00</w:t>
            </w:r>
          </w:p>
        </w:tc>
      </w:tr>
      <w:tr>
        <w:trPr>
          <w:trHeight w:hRule="atLeast" w:val="420"/>
        </w:trPr>
        <w:tc>
          <w:tcPr>
            <w:tcW w:type="dxa" w:w="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4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9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2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Областной бюджет</w:t>
            </w:r>
          </w:p>
          <w:p w14:paraId="44010000">
            <w:pPr>
              <w:widowControl w:val="0"/>
              <w:ind/>
              <w:rPr>
                <w:sz w:val="18"/>
              </w:rPr>
            </w:pPr>
          </w:p>
        </w:tc>
        <w:tc>
          <w:tcPr>
            <w:tcW w:type="dxa" w:w="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ind/>
              <w:jc w:val="center"/>
            </w:pPr>
            <w:r>
              <w:t>0,00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ind/>
              <w:jc w:val="center"/>
            </w:pPr>
            <w:r>
              <w:t>0,00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ind/>
              <w:jc w:val="center"/>
            </w:pPr>
            <w:r>
              <w:t>0,00</w:t>
            </w:r>
          </w:p>
        </w:tc>
      </w:tr>
      <w:tr>
        <w:trPr>
          <w:trHeight w:hRule="atLeast" w:val="1005"/>
        </w:trPr>
        <w:tc>
          <w:tcPr>
            <w:tcW w:type="dxa" w:w="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4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9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2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Федеральный бю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жет</w:t>
            </w:r>
          </w:p>
        </w:tc>
        <w:tc>
          <w:tcPr>
            <w:tcW w:type="dxa" w:w="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center"/>
            </w:pPr>
            <w:r>
              <w:t>0,00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ind/>
              <w:jc w:val="center"/>
            </w:pPr>
            <w:r>
              <w:t>0,00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ind/>
              <w:jc w:val="center"/>
            </w:pPr>
            <w:r>
              <w:t>0,00</w:t>
            </w:r>
          </w:p>
        </w:tc>
      </w:tr>
      <w:tr>
        <w:trPr>
          <w:trHeight w:hRule="atLeast" w:val="360"/>
        </w:trPr>
        <w:tc>
          <w:tcPr>
            <w:tcW w:type="dxa" w:w="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2.2</w:t>
            </w:r>
          </w:p>
          <w:p w14:paraId="4D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34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contextualSpacing w:val="1"/>
              <w:jc w:val="both"/>
            </w:pPr>
            <w:r>
              <w:t>Основное мероприятие "Ведение уч</w:t>
            </w:r>
            <w:r>
              <w:t>е</w:t>
            </w:r>
            <w:r>
              <w:t>та лиц, имеющих право на предоста</w:t>
            </w:r>
            <w:r>
              <w:t>в</w:t>
            </w:r>
            <w:r>
              <w:t>ление служебного жилого помещ</w:t>
            </w:r>
            <w:r>
              <w:t>е</w:t>
            </w:r>
            <w:r>
              <w:t>ния"</w:t>
            </w:r>
          </w:p>
        </w:tc>
        <w:tc>
          <w:tcPr>
            <w:tcW w:type="dxa" w:w="1698"/>
            <w:gridSpan w:val="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325"/>
            <w:gridSpan w:val="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368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z w:val="18"/>
              </w:rPr>
              <w:t xml:space="preserve"> бюджет</w:t>
            </w:r>
          </w:p>
          <w:p w14:paraId="53010000">
            <w:pPr>
              <w:widowControl w:val="0"/>
              <w:ind/>
              <w:rPr>
                <w:sz w:val="18"/>
              </w:rPr>
            </w:pPr>
          </w:p>
        </w:tc>
        <w:tc>
          <w:tcPr>
            <w:tcW w:type="dxa" w:w="7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18"/>
              </w:rPr>
              <w:t>тыс. руб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/>
              <w:jc w:val="center"/>
            </w:pPr>
            <w:r>
              <w:t>0,00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center"/>
            </w:pPr>
            <w:r>
              <w:t>0,00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jc w:val="center"/>
            </w:pPr>
            <w:r>
              <w:t>0,00</w:t>
            </w:r>
          </w:p>
        </w:tc>
      </w:tr>
      <w:tr>
        <w:trPr>
          <w:trHeight w:hRule="atLeast" w:val="450"/>
        </w:trPr>
        <w:tc>
          <w:tcPr>
            <w:tcW w:type="dxa" w:w="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4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98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325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36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Областной бюджет</w:t>
            </w:r>
          </w:p>
          <w:p w14:paraId="59010000">
            <w:pPr>
              <w:widowControl w:val="0"/>
              <w:ind/>
              <w:rPr>
                <w:sz w:val="18"/>
              </w:rPr>
            </w:pPr>
          </w:p>
        </w:tc>
        <w:tc>
          <w:tcPr>
            <w:tcW w:type="dxa" w:w="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ind/>
              <w:jc w:val="center"/>
            </w:pPr>
            <w:r>
              <w:t>0,00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center"/>
            </w:pPr>
            <w:r>
              <w:t>0,00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ind/>
              <w:jc w:val="center"/>
            </w:pPr>
            <w:r>
              <w:t>0,00</w:t>
            </w:r>
          </w:p>
        </w:tc>
      </w:tr>
      <w:tr>
        <w:trPr>
          <w:trHeight w:hRule="atLeast" w:val="330"/>
        </w:trPr>
        <w:tc>
          <w:tcPr>
            <w:tcW w:type="dxa" w:w="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4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98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325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36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Федеральный бю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жет</w:t>
            </w:r>
          </w:p>
        </w:tc>
        <w:tc>
          <w:tcPr>
            <w:tcW w:type="dxa" w:w="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ind/>
              <w:jc w:val="center"/>
            </w:pPr>
            <w:r>
              <w:t>0,00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ind/>
              <w:jc w:val="center"/>
            </w:pPr>
            <w:r>
              <w:t>0,00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ind/>
              <w:jc w:val="center"/>
            </w:pPr>
            <w:r>
              <w:t>0,00</w:t>
            </w:r>
          </w:p>
        </w:tc>
      </w:tr>
      <w:tr>
        <w:trPr>
          <w:trHeight w:hRule="atLeast" w:val="495"/>
        </w:trPr>
        <w:tc>
          <w:tcPr>
            <w:tcW w:type="dxa" w:w="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type="dxa" w:w="34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ind/>
              <w:contextualSpacing w:val="1"/>
              <w:jc w:val="both"/>
            </w:pPr>
            <w:r>
              <w:t>Основное мероприятие "</w:t>
            </w:r>
            <w:r>
              <w:t>Предоста</w:t>
            </w:r>
            <w:r>
              <w:t>в</w:t>
            </w:r>
            <w:r>
              <w:t xml:space="preserve">ление </w:t>
            </w:r>
            <w:r>
              <w:t>жилых помещений специал</w:t>
            </w:r>
            <w:r>
              <w:t>и</w:t>
            </w:r>
            <w:r>
              <w:t xml:space="preserve">стам, в работе которых имеется </w:t>
            </w:r>
            <w:r>
              <w:t>нео</w:t>
            </w:r>
            <w:r>
              <w:t>б</w:t>
            </w:r>
            <w:r>
              <w:t>ходимость</w:t>
            </w:r>
            <w:r>
              <w:t xml:space="preserve"> на террит</w:t>
            </w:r>
            <w:r>
              <w:t>о</w:t>
            </w:r>
            <w:r>
              <w:t xml:space="preserve">рии </w:t>
            </w:r>
            <w:r>
              <w:t>Старо-Акульшетского муниципального о</w:t>
            </w:r>
            <w:r>
              <w:t>б</w:t>
            </w:r>
            <w:r>
              <w:t>разования</w:t>
            </w:r>
            <w:r>
              <w:t>, по договорам найма сл</w:t>
            </w:r>
            <w:r>
              <w:t>у</w:t>
            </w:r>
            <w:r>
              <w:t>жебного жилого пом</w:t>
            </w:r>
            <w:r>
              <w:t>е</w:t>
            </w:r>
            <w:r>
              <w:t>щения"</w:t>
            </w:r>
          </w:p>
        </w:tc>
        <w:tc>
          <w:tcPr>
            <w:tcW w:type="dxa" w:w="1698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325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36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z w:val="18"/>
              </w:rPr>
              <w:t xml:space="preserve"> бюджет</w:t>
            </w:r>
          </w:p>
          <w:p w14:paraId="64010000">
            <w:pPr>
              <w:widowControl w:val="0"/>
              <w:ind/>
              <w:rPr>
                <w:sz w:val="18"/>
              </w:rPr>
            </w:pPr>
          </w:p>
        </w:tc>
        <w:tc>
          <w:tcPr>
            <w:tcW w:type="dxa" w:w="7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18"/>
              </w:rPr>
              <w:t>тыс. руб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ind/>
              <w:jc w:val="center"/>
            </w:pPr>
            <w:r>
              <w:t>0,00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ind/>
              <w:jc w:val="center"/>
            </w:pPr>
            <w:r>
              <w:t>0,00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ind/>
              <w:jc w:val="center"/>
            </w:pPr>
            <w:r>
              <w:t>0,00</w:t>
            </w:r>
          </w:p>
        </w:tc>
      </w:tr>
      <w:tr>
        <w:trPr>
          <w:trHeight w:hRule="atLeast" w:val="660"/>
        </w:trPr>
        <w:tc>
          <w:tcPr>
            <w:tcW w:type="dxa" w:w="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4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98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325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36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Областной бюджет</w:t>
            </w:r>
          </w:p>
          <w:p w14:paraId="6A010000">
            <w:pPr>
              <w:widowControl w:val="0"/>
              <w:ind/>
              <w:rPr>
                <w:sz w:val="18"/>
              </w:rPr>
            </w:pPr>
          </w:p>
        </w:tc>
        <w:tc>
          <w:tcPr>
            <w:tcW w:type="dxa" w:w="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ind/>
              <w:jc w:val="center"/>
            </w:pPr>
            <w:r>
              <w:t>0,00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ind/>
              <w:jc w:val="center"/>
            </w:pPr>
            <w:r>
              <w:t>0,00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ind/>
              <w:jc w:val="center"/>
            </w:pPr>
            <w:r>
              <w:t>0,00</w:t>
            </w:r>
          </w:p>
        </w:tc>
      </w:tr>
      <w:tr>
        <w:trPr>
          <w:trHeight w:hRule="atLeast" w:val="628"/>
        </w:trPr>
        <w:tc>
          <w:tcPr>
            <w:tcW w:type="dxa" w:w="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4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98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325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36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Федеральный бю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жет</w:t>
            </w:r>
          </w:p>
        </w:tc>
        <w:tc>
          <w:tcPr>
            <w:tcW w:type="dxa" w:w="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ind/>
              <w:jc w:val="center"/>
            </w:pPr>
            <w:r>
              <w:t>0,00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ind/>
              <w:jc w:val="center"/>
            </w:pPr>
            <w:r>
              <w:t>0,00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ind/>
              <w:jc w:val="center"/>
            </w:pPr>
            <w:r>
              <w:t>0,00</w:t>
            </w:r>
          </w:p>
        </w:tc>
      </w:tr>
      <w:tr>
        <w:tc>
          <w:tcPr>
            <w:tcW w:type="dxa" w:w="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7843"/>
            <w:gridSpan w:val="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ИТОГО объем финансирования по задаче 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:</w:t>
            </w:r>
          </w:p>
        </w:tc>
        <w:tc>
          <w:tcPr>
            <w:tcW w:type="dxa" w:w="1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z w:val="18"/>
              </w:rPr>
              <w:t xml:space="preserve"> бюджет</w:t>
            </w:r>
          </w:p>
          <w:p w14:paraId="75010000">
            <w:pPr>
              <w:widowControl w:val="0"/>
              <w:ind/>
              <w:rPr>
                <w:sz w:val="18"/>
              </w:rPr>
            </w:pPr>
          </w:p>
        </w:tc>
        <w:tc>
          <w:tcPr>
            <w:tcW w:type="dxa" w:w="7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1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тыс. руб.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ind/>
              <w:jc w:val="center"/>
            </w:pPr>
            <w:r>
              <w:t>0,00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ind/>
              <w:jc w:val="center"/>
            </w:pPr>
            <w:r>
              <w:t>0,00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ind/>
              <w:jc w:val="center"/>
            </w:pPr>
            <w:r>
              <w:t>0,00</w:t>
            </w:r>
          </w:p>
        </w:tc>
      </w:tr>
      <w:tr>
        <w:tc>
          <w:tcPr>
            <w:tcW w:type="dxa" w:w="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843"/>
            <w:gridSpan w:val="6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Областной бюджет</w:t>
            </w:r>
          </w:p>
          <w:p w14:paraId="7B010000">
            <w:pPr>
              <w:widowControl w:val="0"/>
              <w:ind/>
              <w:rPr>
                <w:sz w:val="18"/>
              </w:rPr>
            </w:pPr>
          </w:p>
        </w:tc>
        <w:tc>
          <w:tcPr>
            <w:tcW w:type="dxa" w:w="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ind/>
              <w:jc w:val="center"/>
            </w:pPr>
            <w:r>
              <w:t>0,00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ind/>
              <w:jc w:val="center"/>
            </w:pPr>
            <w:r>
              <w:t>0,00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ind/>
              <w:jc w:val="center"/>
            </w:pPr>
            <w:r>
              <w:t>0,00</w:t>
            </w:r>
          </w:p>
        </w:tc>
      </w:tr>
      <w:tr>
        <w:tc>
          <w:tcPr>
            <w:tcW w:type="dxa" w:w="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843"/>
            <w:gridSpan w:val="6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Федеральный бю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жет</w:t>
            </w:r>
          </w:p>
        </w:tc>
        <w:tc>
          <w:tcPr>
            <w:tcW w:type="dxa" w:w="7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ind/>
              <w:jc w:val="center"/>
            </w:pPr>
            <w:r>
              <w:t>0,00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ind/>
              <w:jc w:val="center"/>
            </w:pPr>
            <w:r>
              <w:t>0,00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ind/>
              <w:jc w:val="center"/>
            </w:pPr>
            <w:r>
              <w:t>0,00</w:t>
            </w:r>
          </w:p>
        </w:tc>
      </w:tr>
    </w:tbl>
    <w:p w14:paraId="83010000">
      <w:pPr>
        <w:widowControl w:val="0"/>
        <w:ind/>
        <w:jc w:val="right"/>
        <w:outlineLvl w:val="2"/>
      </w:pPr>
    </w:p>
    <w:p w14:paraId="84010000">
      <w:pPr>
        <w:widowControl w:val="0"/>
        <w:ind/>
        <w:jc w:val="right"/>
        <w:outlineLvl w:val="2"/>
      </w:pPr>
    </w:p>
    <w:p w14:paraId="85010000">
      <w:pPr>
        <w:rPr>
          <w:spacing w:val="-10"/>
          <w:sz w:val="22"/>
        </w:rPr>
      </w:pPr>
    </w:p>
    <w:p w14:paraId="86010000">
      <w:pPr>
        <w:rPr>
          <w:spacing w:val="-10"/>
          <w:sz w:val="22"/>
        </w:rPr>
      </w:pPr>
    </w:p>
    <w:p w14:paraId="87010000">
      <w:pPr>
        <w:ind/>
        <w:jc w:val="right"/>
        <w:rPr>
          <w:rFonts w:ascii="Calibri" w:hAnsi="Calibri"/>
          <w:sz w:val="24"/>
        </w:rPr>
      </w:pPr>
    </w:p>
    <w:sectPr>
      <w:headerReference r:id="rId5" w:type="default"/>
      <w:footerReference r:id="rId6" w:type="default"/>
      <w:pgSz w:h="11906" w:orient="landscape" w:w="16838"/>
      <w:pgMar w:bottom="1701" w:footer="709" w:gutter="0" w:header="709" w:left="1559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2"/>
      <w:ind w:right="360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8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6000000">
    <w:pPr>
      <w:pStyle w:val="Style_1"/>
      <w:ind/>
      <w:jc w:val="center"/>
    </w:pPr>
  </w:p>
  <w:p w14:paraId="07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rPr>
      <w:rFonts w:ascii="Times New Roman" w:hAnsi="Times New Roman"/>
    </w:rPr>
  </w:style>
  <w:style w:default="1" w:styleId="Style_11_ch" w:type="character">
    <w:name w:val="Normal"/>
    <w:link w:val="Style_11"/>
    <w:rPr>
      <w:rFonts w:ascii="Times New Roman" w:hAnsi="Times New Roman"/>
    </w:rPr>
  </w:style>
  <w:style w:styleId="Style_12" w:type="paragraph">
    <w:name w:val="toc 2"/>
    <w:next w:val="Style_11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ConsPlusNormal"/>
    <w:link w:val="Style_13_ch"/>
    <w:pPr>
      <w:widowControl w:val="0"/>
      <w:ind w:firstLine="720" w:left="0"/>
    </w:pPr>
    <w:rPr>
      <w:rFonts w:ascii="Arial" w:hAnsi="Arial"/>
    </w:rPr>
  </w:style>
  <w:style w:styleId="Style_13_ch" w:type="character">
    <w:name w:val="ConsPlusNormal"/>
    <w:link w:val="Style_13"/>
    <w:rPr>
      <w:rFonts w:ascii="Arial" w:hAnsi="Arial"/>
    </w:rPr>
  </w:style>
  <w:style w:styleId="Style_14" w:type="paragraph">
    <w:name w:val="Text body"/>
    <w:basedOn w:val="Style_11"/>
    <w:link w:val="Style_14_ch"/>
    <w:pPr>
      <w:widowControl w:val="0"/>
      <w:spacing w:after="120"/>
      <w:ind/>
    </w:pPr>
    <w:rPr>
      <w:rFonts w:ascii="Calibri" w:hAnsi="Calibri"/>
      <w:sz w:val="24"/>
    </w:rPr>
  </w:style>
  <w:style w:styleId="Style_14_ch" w:type="character">
    <w:name w:val="Text body"/>
    <w:basedOn w:val="Style_11_ch"/>
    <w:link w:val="Style_14"/>
    <w:rPr>
      <w:rFonts w:ascii="Calibri" w:hAnsi="Calibri"/>
      <w:sz w:val="24"/>
    </w:rPr>
  </w:style>
  <w:style w:styleId="Style_10" w:type="paragraph">
    <w:name w:val="ConsPlusCell"/>
    <w:link w:val="Style_10_ch"/>
    <w:rPr>
      <w:rFonts w:ascii="Times New Roman" w:hAnsi="Times New Roman"/>
      <w:sz w:val="24"/>
    </w:rPr>
  </w:style>
  <w:style w:styleId="Style_10_ch" w:type="character">
    <w:name w:val="ConsPlusCell"/>
    <w:link w:val="Style_10"/>
    <w:rPr>
      <w:rFonts w:ascii="Times New Roman" w:hAnsi="Times New Roman"/>
      <w:sz w:val="24"/>
    </w:rPr>
  </w:style>
  <w:style w:styleId="Style_15" w:type="paragraph">
    <w:name w:val="toc 4"/>
    <w:next w:val="Style_11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style_13222202430000000471msonormal"/>
    <w:basedOn w:val="Style_11"/>
    <w:link w:val="Style_16_ch"/>
    <w:pPr>
      <w:spacing w:afterAutospacing="on" w:beforeAutospacing="on"/>
      <w:ind/>
    </w:pPr>
    <w:rPr>
      <w:sz w:val="24"/>
    </w:rPr>
  </w:style>
  <w:style w:styleId="Style_16_ch" w:type="character">
    <w:name w:val="style_13222202430000000471msonormal"/>
    <w:basedOn w:val="Style_11_ch"/>
    <w:link w:val="Style_16"/>
    <w:rPr>
      <w:sz w:val="24"/>
    </w:rPr>
  </w:style>
  <w:style w:styleId="Style_17" w:type="paragraph">
    <w:name w:val="heading 7"/>
    <w:basedOn w:val="Style_11"/>
    <w:next w:val="Style_11"/>
    <w:link w:val="Style_17_ch"/>
    <w:uiPriority w:val="9"/>
    <w:qFormat/>
    <w:pPr>
      <w:keepNext w:val="1"/>
      <w:ind/>
      <w:jc w:val="center"/>
      <w:outlineLvl w:val="6"/>
    </w:pPr>
    <w:rPr>
      <w:rFonts w:ascii="AG_CenturyOldStyle" w:hAnsi="AG_CenturyOldStyle"/>
      <w:b w:val="1"/>
      <w:sz w:val="44"/>
    </w:rPr>
  </w:style>
  <w:style w:styleId="Style_17_ch" w:type="character">
    <w:name w:val="heading 7"/>
    <w:basedOn w:val="Style_11_ch"/>
    <w:link w:val="Style_17"/>
    <w:rPr>
      <w:rFonts w:ascii="AG_CenturyOldStyle" w:hAnsi="AG_CenturyOldStyle"/>
      <w:b w:val="1"/>
      <w:sz w:val="44"/>
    </w:rPr>
  </w:style>
  <w:style w:styleId="Style_18" w:type="paragraph">
    <w:name w:val="List Paragraph"/>
    <w:basedOn w:val="Style_11"/>
    <w:link w:val="Style_18_ch"/>
    <w:pPr>
      <w:ind w:firstLine="0" w:left="720"/>
      <w:contextualSpacing w:val="1"/>
    </w:pPr>
  </w:style>
  <w:style w:styleId="Style_18_ch" w:type="character">
    <w:name w:val="List Paragraph"/>
    <w:basedOn w:val="Style_11_ch"/>
    <w:link w:val="Style_18"/>
  </w:style>
  <w:style w:styleId="Style_19" w:type="paragraph">
    <w:name w:val="1cxsplast"/>
    <w:basedOn w:val="Style_11"/>
    <w:link w:val="Style_19_ch"/>
    <w:pPr>
      <w:spacing w:afterAutospacing="on" w:beforeAutospacing="on"/>
      <w:ind/>
    </w:pPr>
    <w:rPr>
      <w:sz w:val="24"/>
    </w:rPr>
  </w:style>
  <w:style w:styleId="Style_19_ch" w:type="character">
    <w:name w:val="1cxsplast"/>
    <w:basedOn w:val="Style_11_ch"/>
    <w:link w:val="Style_19"/>
    <w:rPr>
      <w:sz w:val="24"/>
    </w:rPr>
  </w:style>
  <w:style w:styleId="Style_9" w:type="paragraph">
    <w:name w:val="ts7"/>
    <w:link w:val="Style_9_ch"/>
  </w:style>
  <w:style w:styleId="Style_9_ch" w:type="character">
    <w:name w:val="ts7"/>
    <w:link w:val="Style_9"/>
  </w:style>
  <w:style w:styleId="Style_20" w:type="paragraph">
    <w:name w:val="toc 6"/>
    <w:next w:val="Style_11"/>
    <w:link w:val="Style_2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0_ch" w:type="character">
    <w:name w:val="toc 6"/>
    <w:link w:val="Style_20"/>
    <w:rPr>
      <w:rFonts w:ascii="XO Thames" w:hAnsi="XO Thames"/>
      <w:sz w:val="28"/>
    </w:rPr>
  </w:style>
  <w:style w:styleId="Style_21" w:type="paragraph">
    <w:name w:val="Body Text Indent"/>
    <w:basedOn w:val="Style_11"/>
    <w:link w:val="Style_21_ch"/>
    <w:pPr>
      <w:spacing w:after="120"/>
      <w:ind w:firstLine="0" w:left="283"/>
    </w:pPr>
    <w:rPr>
      <w:sz w:val="24"/>
    </w:rPr>
  </w:style>
  <w:style w:styleId="Style_21_ch" w:type="character">
    <w:name w:val="Body Text Indent"/>
    <w:basedOn w:val="Style_11_ch"/>
    <w:link w:val="Style_21"/>
    <w:rPr>
      <w:sz w:val="24"/>
    </w:rPr>
  </w:style>
  <w:style w:styleId="Style_22" w:type="paragraph">
    <w:name w:val="toc 7"/>
    <w:next w:val="Style_11"/>
    <w:link w:val="Style_2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2_ch" w:type="character">
    <w:name w:val="toc 7"/>
    <w:link w:val="Style_22"/>
    <w:rPr>
      <w:rFonts w:ascii="XO Thames" w:hAnsi="XO Thames"/>
      <w:sz w:val="28"/>
    </w:rPr>
  </w:style>
  <w:style w:styleId="Style_23" w:type="paragraph">
    <w:name w:val="Body Text"/>
    <w:basedOn w:val="Style_11"/>
    <w:link w:val="Style_23_ch"/>
    <w:pPr>
      <w:spacing w:after="120"/>
      <w:ind/>
    </w:pPr>
    <w:rPr>
      <w:sz w:val="24"/>
    </w:rPr>
  </w:style>
  <w:style w:styleId="Style_23_ch" w:type="character">
    <w:name w:val="Body Text"/>
    <w:basedOn w:val="Style_11_ch"/>
    <w:link w:val="Style_23"/>
    <w:rPr>
      <w:sz w:val="24"/>
    </w:rPr>
  </w:style>
  <w:style w:styleId="Style_24" w:type="paragraph">
    <w:name w:val="ConsTitle"/>
    <w:link w:val="Style_24_ch"/>
    <w:pPr>
      <w:widowControl w:val="0"/>
      <w:ind w:right="19772"/>
    </w:pPr>
    <w:rPr>
      <w:rFonts w:ascii="Arial" w:hAnsi="Arial"/>
      <w:b w:val="1"/>
      <w:sz w:val="16"/>
    </w:rPr>
  </w:style>
  <w:style w:styleId="Style_24_ch" w:type="character">
    <w:name w:val="ConsTitle"/>
    <w:link w:val="Style_24"/>
    <w:rPr>
      <w:rFonts w:ascii="Arial" w:hAnsi="Arial"/>
      <w:b w:val="1"/>
      <w:sz w:val="16"/>
    </w:rPr>
  </w:style>
  <w:style w:styleId="Style_25" w:type="paragraph">
    <w:name w:val="heading 3"/>
    <w:basedOn w:val="Style_11"/>
    <w:next w:val="Style_11"/>
    <w:link w:val="Style_25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25_ch" w:type="character">
    <w:name w:val="heading 3"/>
    <w:basedOn w:val="Style_11_ch"/>
    <w:link w:val="Style_25"/>
    <w:rPr>
      <w:rFonts w:ascii="Cambria" w:hAnsi="Cambria"/>
      <w:b w:val="1"/>
      <w:sz w:val="26"/>
    </w:rPr>
  </w:style>
  <w:style w:styleId="Style_1" w:type="paragraph">
    <w:name w:val="header"/>
    <w:basedOn w:val="Style_11"/>
    <w:link w:val="Style_1_ch"/>
    <w:pPr>
      <w:tabs>
        <w:tab w:leader="none" w:pos="4677" w:val="center"/>
        <w:tab w:leader="none" w:pos="9355" w:val="right"/>
      </w:tabs>
      <w:ind/>
    </w:pPr>
    <w:rPr>
      <w:sz w:val="24"/>
    </w:rPr>
  </w:style>
  <w:style w:styleId="Style_1_ch" w:type="character">
    <w:name w:val="header"/>
    <w:basedOn w:val="Style_11_ch"/>
    <w:link w:val="Style_1"/>
    <w:rPr>
      <w:sz w:val="24"/>
    </w:rPr>
  </w:style>
  <w:style w:styleId="Style_6" w:type="paragraph">
    <w:name w:val="fontstyle01"/>
    <w:link w:val="Style_6_ch"/>
    <w:rPr>
      <w:rFonts w:ascii="Times New Roman" w:hAnsi="Times New Roman"/>
      <w:color w:val="000000"/>
      <w:sz w:val="24"/>
    </w:rPr>
  </w:style>
  <w:style w:styleId="Style_6_ch" w:type="character">
    <w:name w:val="fontstyle01"/>
    <w:link w:val="Style_6"/>
    <w:rPr>
      <w:rFonts w:ascii="Times New Roman" w:hAnsi="Times New Roman"/>
      <w:color w:val="000000"/>
      <w:sz w:val="24"/>
    </w:rPr>
  </w:style>
  <w:style w:styleId="Style_26" w:type="paragraph">
    <w:name w:val="heading 9"/>
    <w:basedOn w:val="Style_11"/>
    <w:next w:val="Style_11"/>
    <w:link w:val="Style_26_ch"/>
    <w:uiPriority w:val="9"/>
    <w:qFormat/>
    <w:pPr>
      <w:spacing w:after="60" w:before="240"/>
      <w:ind/>
      <w:outlineLvl w:val="8"/>
    </w:pPr>
    <w:rPr>
      <w:rFonts w:ascii="Arial" w:hAnsi="Arial"/>
      <w:sz w:val="22"/>
    </w:rPr>
  </w:style>
  <w:style w:styleId="Style_26_ch" w:type="character">
    <w:name w:val="heading 9"/>
    <w:basedOn w:val="Style_11_ch"/>
    <w:link w:val="Style_26"/>
    <w:rPr>
      <w:rFonts w:ascii="Arial" w:hAnsi="Arial"/>
      <w:sz w:val="22"/>
    </w:rPr>
  </w:style>
  <w:style w:styleId="Style_27" w:type="paragraph">
    <w:name w:val="Strong"/>
    <w:link w:val="Style_27_ch"/>
    <w:rPr>
      <w:b w:val="1"/>
    </w:rPr>
  </w:style>
  <w:style w:styleId="Style_27_ch" w:type="character">
    <w:name w:val="Strong"/>
    <w:link w:val="Style_27"/>
    <w:rPr>
      <w:b w:val="1"/>
    </w:rPr>
  </w:style>
  <w:style w:styleId="Style_28" w:type="paragraph">
    <w:name w:val="ConsPlusTitle"/>
    <w:link w:val="Style_28_ch"/>
    <w:pPr>
      <w:widowControl w:val="0"/>
      <w:ind/>
    </w:pPr>
  </w:style>
  <w:style w:styleId="Style_28_ch" w:type="character">
    <w:name w:val="ConsPlusTitle"/>
    <w:link w:val="Style_28"/>
  </w:style>
  <w:style w:styleId="Style_29" w:type="paragraph">
    <w:name w:val="1cxspmiddle"/>
    <w:basedOn w:val="Style_11"/>
    <w:link w:val="Style_29_ch"/>
    <w:pPr>
      <w:spacing w:afterAutospacing="on" w:beforeAutospacing="on"/>
      <w:ind/>
    </w:pPr>
    <w:rPr>
      <w:sz w:val="24"/>
    </w:rPr>
  </w:style>
  <w:style w:styleId="Style_29_ch" w:type="character">
    <w:name w:val="1cxspmiddle"/>
    <w:basedOn w:val="Style_11_ch"/>
    <w:link w:val="Style_29"/>
    <w:rPr>
      <w:sz w:val="24"/>
    </w:rPr>
  </w:style>
  <w:style w:styleId="Style_30" w:type="paragraph">
    <w:name w:val="Table Contents"/>
    <w:basedOn w:val="Style_11"/>
    <w:link w:val="Style_30_ch"/>
    <w:pPr>
      <w:widowControl w:val="0"/>
      <w:ind/>
    </w:pPr>
    <w:rPr>
      <w:sz w:val="24"/>
    </w:rPr>
  </w:style>
  <w:style w:styleId="Style_30_ch" w:type="character">
    <w:name w:val="Table Contents"/>
    <w:basedOn w:val="Style_11_ch"/>
    <w:link w:val="Style_30"/>
    <w:rPr>
      <w:sz w:val="24"/>
    </w:rPr>
  </w:style>
  <w:style w:styleId="Style_31" w:type="paragraph">
    <w:name w:val="Основной текст с отступом 31"/>
    <w:basedOn w:val="Style_11"/>
    <w:link w:val="Style_31_ch"/>
  </w:style>
  <w:style w:styleId="Style_31_ch" w:type="character">
    <w:name w:val="Основной текст с отступом 31"/>
    <w:basedOn w:val="Style_11_ch"/>
    <w:link w:val="Style_31"/>
  </w:style>
  <w:style w:styleId="Style_32" w:type="paragraph">
    <w:name w:val="apple-converted-space"/>
    <w:basedOn w:val="Style_33"/>
    <w:link w:val="Style_32_ch"/>
  </w:style>
  <w:style w:styleId="Style_32_ch" w:type="character">
    <w:name w:val="apple-converted-space"/>
    <w:basedOn w:val="Style_33_ch"/>
    <w:link w:val="Style_32"/>
  </w:style>
  <w:style w:styleId="Style_34" w:type="paragraph">
    <w:name w:val="Прижатый влево"/>
    <w:basedOn w:val="Style_11"/>
    <w:next w:val="Style_11"/>
    <w:link w:val="Style_34_ch"/>
    <w:rPr>
      <w:rFonts w:ascii="Arial" w:hAnsi="Arial"/>
      <w:sz w:val="24"/>
    </w:rPr>
  </w:style>
  <w:style w:styleId="Style_34_ch" w:type="character">
    <w:name w:val="Прижатый влево"/>
    <w:basedOn w:val="Style_11_ch"/>
    <w:link w:val="Style_34"/>
    <w:rPr>
      <w:rFonts w:ascii="Arial" w:hAnsi="Arial"/>
      <w:sz w:val="24"/>
    </w:rPr>
  </w:style>
  <w:style w:styleId="Style_35" w:type="paragraph">
    <w:name w:val="toc 3"/>
    <w:next w:val="Style_11"/>
    <w:link w:val="Style_3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5_ch" w:type="character">
    <w:name w:val="toc 3"/>
    <w:link w:val="Style_35"/>
    <w:rPr>
      <w:rFonts w:ascii="XO Thames" w:hAnsi="XO Thames"/>
      <w:sz w:val="28"/>
    </w:rPr>
  </w:style>
  <w:style w:styleId="Style_36" w:type="paragraph">
    <w:name w:val="Normal (Web)"/>
    <w:basedOn w:val="Style_11"/>
    <w:link w:val="Style_36_ch"/>
    <w:pPr>
      <w:spacing w:afterAutospacing="on" w:beforeAutospacing="on"/>
      <w:ind/>
    </w:pPr>
    <w:rPr>
      <w:sz w:val="24"/>
    </w:rPr>
  </w:style>
  <w:style w:styleId="Style_36_ch" w:type="character">
    <w:name w:val="Normal (Web)"/>
    <w:basedOn w:val="Style_11_ch"/>
    <w:link w:val="Style_36"/>
    <w:rPr>
      <w:sz w:val="24"/>
    </w:rPr>
  </w:style>
  <w:style w:styleId="Style_2" w:type="paragraph">
    <w:name w:val="footer"/>
    <w:basedOn w:val="Style_11"/>
    <w:link w:val="Style_2_ch"/>
    <w:pPr>
      <w:tabs>
        <w:tab w:leader="none" w:pos="4677" w:val="center"/>
        <w:tab w:leader="none" w:pos="9355" w:val="right"/>
      </w:tabs>
      <w:ind/>
    </w:pPr>
    <w:rPr>
      <w:sz w:val="24"/>
    </w:rPr>
  </w:style>
  <w:style w:styleId="Style_2_ch" w:type="character">
    <w:name w:val="footer"/>
    <w:basedOn w:val="Style_11_ch"/>
    <w:link w:val="Style_2"/>
    <w:rPr>
      <w:sz w:val="24"/>
    </w:rPr>
  </w:style>
  <w:style w:styleId="Style_37" w:type="paragraph">
    <w:name w:val="Body Text Indent 3"/>
    <w:basedOn w:val="Style_11"/>
    <w:link w:val="Style_37_ch"/>
    <w:pPr>
      <w:spacing w:after="120" w:line="360" w:lineRule="auto"/>
      <w:ind w:firstLine="709" w:left="283"/>
      <w:jc w:val="both"/>
    </w:pPr>
    <w:rPr>
      <w:rFonts w:ascii="Calibri" w:hAnsi="Calibri"/>
      <w:sz w:val="16"/>
    </w:rPr>
  </w:style>
  <w:style w:styleId="Style_37_ch" w:type="character">
    <w:name w:val="Body Text Indent 3"/>
    <w:basedOn w:val="Style_11_ch"/>
    <w:link w:val="Style_37"/>
    <w:rPr>
      <w:rFonts w:ascii="Calibri" w:hAnsi="Calibri"/>
      <w:sz w:val="16"/>
    </w:rPr>
  </w:style>
  <w:style w:styleId="Style_38" w:type="paragraph">
    <w:name w:val="List Paragraph"/>
    <w:basedOn w:val="Style_11"/>
    <w:link w:val="Style_38_ch"/>
    <w:pPr>
      <w:ind w:firstLine="0" w:left="720"/>
    </w:pPr>
    <w:rPr>
      <w:rFonts w:ascii="Cambria" w:hAnsi="Cambria"/>
      <w:sz w:val="24"/>
    </w:rPr>
  </w:style>
  <w:style w:styleId="Style_38_ch" w:type="character">
    <w:name w:val="List Paragraph"/>
    <w:basedOn w:val="Style_11_ch"/>
    <w:link w:val="Style_38"/>
    <w:rPr>
      <w:rFonts w:ascii="Cambria" w:hAnsi="Cambria"/>
      <w:sz w:val="24"/>
    </w:rPr>
  </w:style>
  <w:style w:styleId="Style_7" w:type="paragraph">
    <w:name w:val="ConsNormal"/>
    <w:link w:val="Style_7_ch"/>
    <w:pPr>
      <w:widowControl w:val="0"/>
      <w:ind w:firstLine="720" w:left="0"/>
    </w:pPr>
    <w:rPr>
      <w:rFonts w:ascii="Times New Roman" w:hAnsi="Times New Roman"/>
    </w:rPr>
  </w:style>
  <w:style w:styleId="Style_7_ch" w:type="character">
    <w:name w:val="ConsNormal"/>
    <w:link w:val="Style_7"/>
    <w:rPr>
      <w:rFonts w:ascii="Times New Roman" w:hAnsi="Times New Roman"/>
    </w:rPr>
  </w:style>
  <w:style w:styleId="Style_39" w:type="paragraph">
    <w:name w:val="No Spacing"/>
    <w:link w:val="Style_39_ch"/>
    <w:rPr>
      <w:sz w:val="22"/>
    </w:rPr>
  </w:style>
  <w:style w:styleId="Style_39_ch" w:type="character">
    <w:name w:val="No Spacing"/>
    <w:link w:val="Style_39"/>
    <w:rPr>
      <w:sz w:val="22"/>
    </w:rPr>
  </w:style>
  <w:style w:styleId="Style_40" w:type="paragraph">
    <w:name w:val="Body Text 2"/>
    <w:basedOn w:val="Style_11"/>
    <w:link w:val="Style_40_ch"/>
    <w:pPr>
      <w:spacing w:after="120" w:line="480" w:lineRule="auto"/>
      <w:ind/>
    </w:pPr>
    <w:rPr>
      <w:sz w:val="24"/>
    </w:rPr>
  </w:style>
  <w:style w:styleId="Style_40_ch" w:type="character">
    <w:name w:val="Body Text 2"/>
    <w:basedOn w:val="Style_11_ch"/>
    <w:link w:val="Style_40"/>
    <w:rPr>
      <w:sz w:val="24"/>
    </w:rPr>
  </w:style>
  <w:style w:styleId="Style_41" w:type="paragraph">
    <w:name w:val="1"/>
    <w:basedOn w:val="Style_11"/>
    <w:link w:val="Style_41_ch"/>
    <w:pPr>
      <w:spacing w:afterAutospacing="on" w:beforeAutospacing="on"/>
      <w:ind/>
    </w:pPr>
    <w:rPr>
      <w:sz w:val="24"/>
    </w:rPr>
  </w:style>
  <w:style w:styleId="Style_41_ch" w:type="character">
    <w:name w:val="1"/>
    <w:basedOn w:val="Style_11_ch"/>
    <w:link w:val="Style_41"/>
    <w:rPr>
      <w:sz w:val="24"/>
    </w:rPr>
  </w:style>
  <w:style w:styleId="Style_4" w:type="paragraph">
    <w:name w:val="heading 5"/>
    <w:basedOn w:val="Style_11"/>
    <w:next w:val="Style_11"/>
    <w:link w:val="Style_4_ch"/>
    <w:uiPriority w:val="9"/>
    <w:qFormat/>
    <w:pPr>
      <w:spacing w:after="60" w:before="240"/>
      <w:ind/>
      <w:outlineLvl w:val="4"/>
    </w:pPr>
    <w:rPr>
      <w:rFonts w:ascii="Calibri" w:hAnsi="Calibri"/>
      <w:b w:val="1"/>
      <w:i w:val="1"/>
      <w:sz w:val="26"/>
    </w:rPr>
  </w:style>
  <w:style w:styleId="Style_4_ch" w:type="character">
    <w:name w:val="heading 5"/>
    <w:basedOn w:val="Style_11_ch"/>
    <w:link w:val="Style_4"/>
    <w:rPr>
      <w:rFonts w:ascii="Calibri" w:hAnsi="Calibri"/>
      <w:b w:val="1"/>
      <w:i w:val="1"/>
      <w:sz w:val="26"/>
    </w:rPr>
  </w:style>
  <w:style w:styleId="Style_42" w:type="paragraph">
    <w:name w:val="footnote reference"/>
    <w:link w:val="Style_42_ch"/>
    <w:rPr>
      <w:vertAlign w:val="superscript"/>
    </w:rPr>
  </w:style>
  <w:style w:styleId="Style_42_ch" w:type="character">
    <w:name w:val="footnote reference"/>
    <w:link w:val="Style_42"/>
    <w:rPr>
      <w:vertAlign w:val="superscript"/>
    </w:rPr>
  </w:style>
  <w:style w:styleId="Style_3" w:type="paragraph">
    <w:name w:val="heading 1"/>
    <w:basedOn w:val="Style_11"/>
    <w:next w:val="Style_11"/>
    <w:link w:val="Style_3_ch"/>
    <w:uiPriority w:val="9"/>
    <w:qFormat/>
    <w:pPr>
      <w:keepNext w:val="1"/>
      <w:ind w:right="-285"/>
      <w:jc w:val="center"/>
      <w:outlineLvl w:val="0"/>
    </w:pPr>
    <w:rPr>
      <w:b w:val="1"/>
      <w:sz w:val="32"/>
    </w:rPr>
  </w:style>
  <w:style w:styleId="Style_3_ch" w:type="character">
    <w:name w:val="heading 1"/>
    <w:basedOn w:val="Style_11_ch"/>
    <w:link w:val="Style_3"/>
    <w:rPr>
      <w:b w:val="1"/>
      <w:sz w:val="32"/>
    </w:rPr>
  </w:style>
  <w:style w:styleId="Style_43" w:type="paragraph">
    <w:name w:val="Balloon Text"/>
    <w:basedOn w:val="Style_11"/>
    <w:link w:val="Style_43_ch"/>
    <w:rPr>
      <w:rFonts w:ascii="Segoe UI" w:hAnsi="Segoe UI"/>
      <w:sz w:val="18"/>
    </w:rPr>
  </w:style>
  <w:style w:styleId="Style_43_ch" w:type="character">
    <w:name w:val="Balloon Text"/>
    <w:basedOn w:val="Style_11_ch"/>
    <w:link w:val="Style_43"/>
    <w:rPr>
      <w:rFonts w:ascii="Segoe UI" w:hAnsi="Segoe UI"/>
      <w:sz w:val="18"/>
    </w:rPr>
  </w:style>
  <w:style w:styleId="Style_44" w:type="paragraph">
    <w:name w:val="Hyperlink"/>
    <w:link w:val="Style_44_ch"/>
    <w:rPr>
      <w:color w:val="0000FF"/>
      <w:u w:val="single"/>
    </w:rPr>
  </w:style>
  <w:style w:styleId="Style_44_ch" w:type="character">
    <w:name w:val="Hyperlink"/>
    <w:link w:val="Style_44"/>
    <w:rPr>
      <w:color w:val="0000FF"/>
      <w:u w:val="single"/>
    </w:rPr>
  </w:style>
  <w:style w:styleId="Style_45" w:type="paragraph">
    <w:name w:val="Footnote"/>
    <w:basedOn w:val="Style_11"/>
    <w:link w:val="Style_45_ch"/>
    <w:pPr>
      <w:spacing w:after="60"/>
      <w:ind/>
      <w:jc w:val="both"/>
    </w:pPr>
  </w:style>
  <w:style w:styleId="Style_45_ch" w:type="character">
    <w:name w:val="Footnote"/>
    <w:basedOn w:val="Style_11_ch"/>
    <w:link w:val="Style_45"/>
  </w:style>
  <w:style w:styleId="Style_46" w:type="paragraph">
    <w:name w:val="toc 1"/>
    <w:next w:val="Style_11"/>
    <w:link w:val="Style_4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6_ch" w:type="character">
    <w:name w:val="toc 1"/>
    <w:link w:val="Style_46"/>
    <w:rPr>
      <w:rFonts w:ascii="XO Thames" w:hAnsi="XO Thames"/>
      <w:b w:val="1"/>
      <w:sz w:val="28"/>
    </w:rPr>
  </w:style>
  <w:style w:styleId="Style_47" w:type="paragraph">
    <w:name w:val="Header and Footer"/>
    <w:link w:val="Style_47_ch"/>
    <w:pPr>
      <w:spacing w:line="240" w:lineRule="auto"/>
      <w:ind/>
      <w:jc w:val="both"/>
    </w:pPr>
    <w:rPr>
      <w:rFonts w:ascii="XO Thames" w:hAnsi="XO Thames"/>
      <w:sz w:val="20"/>
    </w:rPr>
  </w:style>
  <w:style w:styleId="Style_47_ch" w:type="character">
    <w:name w:val="Header and Footer"/>
    <w:link w:val="Style_47"/>
    <w:rPr>
      <w:rFonts w:ascii="XO Thames" w:hAnsi="XO Thames"/>
      <w:sz w:val="20"/>
    </w:rPr>
  </w:style>
  <w:style w:styleId="Style_48" w:type="paragraph">
    <w:name w:val="Обычный (веб)1"/>
    <w:basedOn w:val="Style_11"/>
    <w:link w:val="Style_48_ch"/>
  </w:style>
  <w:style w:styleId="Style_48_ch" w:type="character">
    <w:name w:val="Обычный (веб)1"/>
    <w:basedOn w:val="Style_11_ch"/>
    <w:link w:val="Style_48"/>
  </w:style>
  <w:style w:styleId="Style_49" w:type="paragraph">
    <w:name w:val="fontstyle21"/>
    <w:link w:val="Style_49_ch"/>
    <w:rPr>
      <w:rFonts w:ascii="Times New Roman Полужирный" w:hAnsi="Times New Roman Полужирный"/>
      <w:color w:val="000000"/>
      <w:sz w:val="28"/>
    </w:rPr>
  </w:style>
  <w:style w:styleId="Style_49_ch" w:type="character">
    <w:name w:val="fontstyle21"/>
    <w:link w:val="Style_49"/>
    <w:rPr>
      <w:rFonts w:ascii="Times New Roman Полужирный" w:hAnsi="Times New Roman Полужирный"/>
      <w:color w:val="000000"/>
      <w:sz w:val="28"/>
    </w:rPr>
  </w:style>
  <w:style w:styleId="Style_50" w:type="paragraph">
    <w:name w:val="toc 9"/>
    <w:next w:val="Style_11"/>
    <w:link w:val="Style_5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0_ch" w:type="character">
    <w:name w:val="toc 9"/>
    <w:link w:val="Style_50"/>
    <w:rPr>
      <w:rFonts w:ascii="XO Thames" w:hAnsi="XO Thames"/>
      <w:sz w:val="28"/>
    </w:rPr>
  </w:style>
  <w:style w:styleId="Style_51" w:type="paragraph">
    <w:name w:val="Без интервала1"/>
    <w:link w:val="Style_51_ch"/>
    <w:pPr>
      <w:ind w:firstLine="709" w:left="0"/>
      <w:jc w:val="both"/>
    </w:pPr>
    <w:rPr>
      <w:rFonts w:ascii="Times New Roman" w:hAnsi="Times New Roman"/>
      <w:sz w:val="26"/>
    </w:rPr>
  </w:style>
  <w:style w:styleId="Style_51_ch" w:type="character">
    <w:name w:val="Без интервала1"/>
    <w:link w:val="Style_51"/>
    <w:rPr>
      <w:rFonts w:ascii="Times New Roman" w:hAnsi="Times New Roman"/>
      <w:sz w:val="26"/>
    </w:rPr>
  </w:style>
  <w:style w:styleId="Style_52" w:type="paragraph">
    <w:name w:val="Знак1"/>
    <w:basedOn w:val="Style_11"/>
    <w:link w:val="Style_52_ch"/>
    <w:pPr>
      <w:widowControl w:val="0"/>
      <w:spacing w:after="160" w:line="240" w:lineRule="exact"/>
      <w:ind/>
      <w:jc w:val="right"/>
    </w:pPr>
  </w:style>
  <w:style w:styleId="Style_52_ch" w:type="character">
    <w:name w:val="Знак1"/>
    <w:basedOn w:val="Style_11_ch"/>
    <w:link w:val="Style_52"/>
  </w:style>
  <w:style w:styleId="Style_53" w:type="paragraph">
    <w:name w:val="toc 8"/>
    <w:next w:val="Style_11"/>
    <w:link w:val="Style_5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3_ch" w:type="character">
    <w:name w:val="toc 8"/>
    <w:link w:val="Style_53"/>
    <w:rPr>
      <w:rFonts w:ascii="XO Thames" w:hAnsi="XO Thames"/>
      <w:sz w:val="28"/>
    </w:rPr>
  </w:style>
  <w:style w:styleId="Style_54" w:type="paragraph">
    <w:name w:val="Абзац списка1"/>
    <w:basedOn w:val="Style_11"/>
    <w:link w:val="Style_54_ch"/>
    <w:pPr>
      <w:spacing w:line="360" w:lineRule="auto"/>
      <w:ind w:firstLine="709" w:left="720"/>
      <w:jc w:val="both"/>
    </w:pPr>
    <w:rPr>
      <w:sz w:val="26"/>
    </w:rPr>
  </w:style>
  <w:style w:styleId="Style_54_ch" w:type="character">
    <w:name w:val="Абзац списка1"/>
    <w:basedOn w:val="Style_11_ch"/>
    <w:link w:val="Style_54"/>
    <w:rPr>
      <w:sz w:val="26"/>
    </w:rPr>
  </w:style>
  <w:style w:styleId="Style_55" w:type="paragraph">
    <w:name w:val="ConsPlusNonformat"/>
    <w:link w:val="Style_55_ch"/>
    <w:rPr>
      <w:rFonts w:ascii="Courier New" w:hAnsi="Courier New"/>
    </w:rPr>
  </w:style>
  <w:style w:styleId="Style_55_ch" w:type="character">
    <w:name w:val="ConsPlusNonformat"/>
    <w:link w:val="Style_55"/>
    <w:rPr>
      <w:rFonts w:ascii="Courier New" w:hAnsi="Courier New"/>
    </w:rPr>
  </w:style>
  <w:style w:styleId="Style_56" w:type="paragraph">
    <w:name w:val="toc 5"/>
    <w:next w:val="Style_11"/>
    <w:link w:val="Style_5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6_ch" w:type="character">
    <w:name w:val="toc 5"/>
    <w:link w:val="Style_56"/>
    <w:rPr>
      <w:rFonts w:ascii="XO Thames" w:hAnsi="XO Thames"/>
      <w:sz w:val="28"/>
    </w:rPr>
  </w:style>
  <w:style w:styleId="Style_57" w:type="paragraph">
    <w:name w:val="page number"/>
    <w:link w:val="Style_57_ch"/>
  </w:style>
  <w:style w:styleId="Style_57_ch" w:type="character">
    <w:name w:val="page number"/>
    <w:link w:val="Style_57"/>
  </w:style>
  <w:style w:styleId="Style_33" w:type="paragraph">
    <w:name w:val="Default Paragraph Font"/>
    <w:link w:val="Style_33_ch"/>
  </w:style>
  <w:style w:styleId="Style_33_ch" w:type="character">
    <w:name w:val="Default Paragraph Font"/>
    <w:link w:val="Style_33"/>
  </w:style>
  <w:style w:styleId="Style_58" w:type="paragraph">
    <w:name w:val="Основной текст с отступом 3 Знак1"/>
    <w:link w:val="Style_58_ch"/>
    <w:rPr>
      <w:rFonts w:ascii="Times New Roman" w:hAnsi="Times New Roman"/>
      <w:sz w:val="16"/>
    </w:rPr>
  </w:style>
  <w:style w:styleId="Style_58_ch" w:type="character">
    <w:name w:val="Основной текст с отступом 3 Знак1"/>
    <w:link w:val="Style_58"/>
    <w:rPr>
      <w:rFonts w:ascii="Times New Roman" w:hAnsi="Times New Roman"/>
      <w:sz w:val="16"/>
    </w:rPr>
  </w:style>
  <w:style w:styleId="Style_59" w:type="paragraph">
    <w:name w:val="Subtitle"/>
    <w:next w:val="Style_11"/>
    <w:link w:val="Style_5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9_ch" w:type="character">
    <w:name w:val="Subtitle"/>
    <w:link w:val="Style_59"/>
    <w:rPr>
      <w:rFonts w:ascii="XO Thames" w:hAnsi="XO Thames"/>
      <w:i w:val="1"/>
      <w:sz w:val="24"/>
    </w:rPr>
  </w:style>
  <w:style w:styleId="Style_60" w:type="paragraph">
    <w:name w:val="ConsPlusCell1"/>
    <w:next w:val="Style_11"/>
    <w:link w:val="Style_60_ch"/>
    <w:pPr>
      <w:widowControl w:val="0"/>
      <w:ind/>
    </w:pPr>
    <w:rPr>
      <w:rFonts w:ascii="Arial" w:hAnsi="Arial"/>
    </w:rPr>
  </w:style>
  <w:style w:styleId="Style_60_ch" w:type="character">
    <w:name w:val="ConsPlusCell1"/>
    <w:link w:val="Style_60"/>
    <w:rPr>
      <w:rFonts w:ascii="Arial" w:hAnsi="Arial"/>
    </w:rPr>
  </w:style>
  <w:style w:styleId="Style_61" w:type="paragraph">
    <w:name w:val="Default"/>
    <w:link w:val="Style_61_ch"/>
    <w:rPr>
      <w:rFonts w:ascii="Times New Roman" w:hAnsi="Times New Roman"/>
      <w:color w:val="000000"/>
      <w:sz w:val="24"/>
    </w:rPr>
  </w:style>
  <w:style w:styleId="Style_61_ch" w:type="character">
    <w:name w:val="Default"/>
    <w:link w:val="Style_61"/>
    <w:rPr>
      <w:rFonts w:ascii="Times New Roman" w:hAnsi="Times New Roman"/>
      <w:color w:val="000000"/>
      <w:sz w:val="24"/>
    </w:rPr>
  </w:style>
  <w:style w:styleId="Style_62" w:type="paragraph">
    <w:name w:val="Title"/>
    <w:basedOn w:val="Style_11"/>
    <w:link w:val="Style_62_ch"/>
    <w:uiPriority w:val="10"/>
    <w:qFormat/>
    <w:pPr>
      <w:ind/>
      <w:jc w:val="center"/>
    </w:pPr>
    <w:rPr>
      <w:sz w:val="28"/>
    </w:rPr>
  </w:style>
  <w:style w:styleId="Style_62_ch" w:type="character">
    <w:name w:val="Title"/>
    <w:basedOn w:val="Style_11_ch"/>
    <w:link w:val="Style_62"/>
    <w:rPr>
      <w:sz w:val="28"/>
    </w:rPr>
  </w:style>
  <w:style w:styleId="Style_63" w:type="paragraph">
    <w:name w:val="heading 4"/>
    <w:basedOn w:val="Style_11"/>
    <w:next w:val="Style_11"/>
    <w:link w:val="Style_63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63_ch" w:type="character">
    <w:name w:val="heading 4"/>
    <w:basedOn w:val="Style_11_ch"/>
    <w:link w:val="Style_63"/>
    <w:rPr>
      <w:b w:val="1"/>
      <w:sz w:val="28"/>
    </w:rPr>
  </w:style>
  <w:style w:styleId="Style_64" w:type="paragraph">
    <w:name w:val="Знак"/>
    <w:basedOn w:val="Style_11"/>
    <w:link w:val="Style_64_ch"/>
    <w:pPr>
      <w:spacing w:afterAutospacing="on" w:beforeAutospacing="on"/>
      <w:ind/>
    </w:pPr>
    <w:rPr>
      <w:rFonts w:ascii="Tahoma" w:hAnsi="Tahoma"/>
    </w:rPr>
  </w:style>
  <w:style w:styleId="Style_64_ch" w:type="character">
    <w:name w:val="Знак"/>
    <w:basedOn w:val="Style_11_ch"/>
    <w:link w:val="Style_64"/>
    <w:rPr>
      <w:rFonts w:ascii="Tahoma" w:hAnsi="Tahoma"/>
    </w:rPr>
  </w:style>
  <w:style w:styleId="Style_65" w:type="paragraph">
    <w:name w:val="heading 2"/>
    <w:basedOn w:val="Style_11"/>
    <w:next w:val="Style_11"/>
    <w:link w:val="Style_65_ch"/>
    <w:uiPriority w:val="9"/>
    <w:qFormat/>
    <w:pPr>
      <w:keepNext w:val="1"/>
      <w:spacing w:after="60" w:before="240"/>
      <w:ind/>
      <w:outlineLvl w:val="1"/>
    </w:pPr>
    <w:rPr>
      <w:rFonts w:ascii="Cambria" w:hAnsi="Cambria"/>
      <w:b w:val="1"/>
      <w:i w:val="1"/>
      <w:sz w:val="28"/>
    </w:rPr>
  </w:style>
  <w:style w:styleId="Style_65_ch" w:type="character">
    <w:name w:val="heading 2"/>
    <w:basedOn w:val="Style_11_ch"/>
    <w:link w:val="Style_65"/>
    <w:rPr>
      <w:rFonts w:ascii="Cambria" w:hAnsi="Cambria"/>
      <w:b w:val="1"/>
      <w:i w:val="1"/>
      <w:sz w:val="28"/>
    </w:rPr>
  </w:style>
  <w:style w:styleId="Style_5" w:type="paragraph">
    <w:name w:val="heading 6"/>
    <w:basedOn w:val="Style_11"/>
    <w:next w:val="Style_11"/>
    <w:link w:val="Style_5_ch"/>
    <w:uiPriority w:val="9"/>
    <w:qFormat/>
    <w:pPr>
      <w:spacing w:after="60" w:before="240"/>
      <w:ind/>
      <w:outlineLvl w:val="5"/>
    </w:pPr>
    <w:rPr>
      <w:rFonts w:ascii="Calibri" w:hAnsi="Calibri"/>
      <w:b w:val="1"/>
      <w:sz w:val="22"/>
    </w:rPr>
  </w:style>
  <w:style w:styleId="Style_5_ch" w:type="character">
    <w:name w:val="heading 6"/>
    <w:basedOn w:val="Style_11_ch"/>
    <w:link w:val="Style_5"/>
    <w:rPr>
      <w:rFonts w:ascii="Calibri" w:hAnsi="Calibri"/>
      <w:b w:val="1"/>
      <w:sz w:val="22"/>
    </w:rPr>
  </w:style>
  <w:style w:styleId="Style_66" w:type="paragraph">
    <w:name w:val="Нормальный (таблица)"/>
    <w:basedOn w:val="Style_11"/>
    <w:next w:val="Style_11"/>
    <w:link w:val="Style_66_ch"/>
    <w:pPr>
      <w:widowControl w:val="0"/>
      <w:ind/>
      <w:jc w:val="both"/>
    </w:pPr>
    <w:rPr>
      <w:rFonts w:ascii="Arial" w:hAnsi="Arial"/>
      <w:sz w:val="24"/>
    </w:rPr>
  </w:style>
  <w:style w:styleId="Style_66_ch" w:type="character">
    <w:name w:val="Нормальный (таблица)"/>
    <w:basedOn w:val="Style_11_ch"/>
    <w:link w:val="Style_66"/>
    <w:rPr>
      <w:rFonts w:ascii="Arial" w:hAnsi="Arial"/>
      <w:sz w:val="24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7" w:type="table">
    <w:name w:val="Table Grid"/>
    <w:basedOn w:val="Style_8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7" Target="fontTable.xml" Type="http://schemas.openxmlformats.org/officeDocument/2006/relationships/fontTable"/>
  <Relationship Id="rId6" Target="footer6.xml" Type="http://schemas.openxmlformats.org/officeDocument/2006/relationships/footer"/>
  <Relationship Id="rId9" Target="styles.xml" Type="http://schemas.openxmlformats.org/officeDocument/2006/relationships/styles"/>
  <Relationship Id="rId5" Target="header5.xml" Type="http://schemas.openxmlformats.org/officeDocument/2006/relationships/header"/>
  <Relationship Id="rId8" Target="settings.xml" Type="http://schemas.openxmlformats.org/officeDocument/2006/relationships/settings"/>
  <Relationship Id="rId4" Target="footer4.xml" Type="http://schemas.openxmlformats.org/officeDocument/2006/relationships/footer"/>
  <Relationship Id="rId12" Target="theme/theme1.xml" Type="http://schemas.openxmlformats.org/officeDocument/2006/relationships/theme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2022-09-19T02:35:40Z</dcterms:modified>
</cp:coreProperties>
</file>